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#11</w:t>
      </w:r>
      <w:r>
        <w:rPr>
          <w:rFonts w:hint="eastAsia" w:ascii="Arial" w:hAnsi="Arial" w:cs="Arial"/>
          <w:b/>
          <w:bCs/>
          <w:sz w:val="28"/>
          <w:szCs w:val="24"/>
          <w:lang w:val="en-US" w:eastAsia="zh-CN"/>
        </w:rPr>
        <w:t>4bis</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R1-2309721</w:t>
      </w:r>
      <w:bookmarkStart w:id="5" w:name="_GoBack"/>
      <w:bookmarkEnd w:id="5"/>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Xiamen, China, October 9</w:t>
      </w:r>
      <w:r>
        <w:rPr>
          <w:rFonts w:hint="eastAsia" w:ascii="Arial" w:hAnsi="Arial" w:eastAsia="MS Mincho" w:cs="Arial"/>
          <w:b/>
          <w:bCs/>
          <w:sz w:val="28"/>
          <w:lang w:eastAsia="ja-JP"/>
        </w:rPr>
        <w:t>th</w:t>
      </w:r>
      <w:r>
        <w:rPr>
          <w:rFonts w:ascii="Arial" w:hAnsi="Arial" w:eastAsia="MS Mincho" w:cs="Arial"/>
          <w:b/>
          <w:bCs/>
          <w:sz w:val="28"/>
          <w:lang w:eastAsia="ja-JP"/>
        </w:rPr>
        <w:t xml:space="preserve"> – </w:t>
      </w:r>
      <w:r>
        <w:rPr>
          <w:rFonts w:hint="eastAsia" w:ascii="Arial" w:hAnsi="Arial" w:eastAsia="MS Mincho" w:cs="Arial"/>
          <w:b/>
          <w:bCs/>
          <w:sz w:val="28"/>
          <w:lang w:eastAsia="ja-JP"/>
        </w:rPr>
        <w:t>October</w:t>
      </w:r>
      <w:r>
        <w:rPr>
          <w:rFonts w:ascii="Arial" w:hAnsi="Arial" w:eastAsia="MS Mincho" w:cs="Arial"/>
          <w:b/>
          <w:bCs/>
          <w:sz w:val="28"/>
          <w:lang w:eastAsia="ja-JP"/>
        </w:rPr>
        <w:t xml:space="preserve"> 13th, 2023</w:t>
      </w:r>
    </w:p>
    <w:p>
      <w:pPr>
        <w:pStyle w:val="2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2"/>
        <w:spacing w:after="0"/>
        <w:rPr>
          <w:rFonts w:hint="eastAsia"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R</w:t>
      </w:r>
      <w:r>
        <w:rPr>
          <w:rFonts w:hint="eastAsia" w:ascii="Times New Roman" w:hAnsi="Times New Roman"/>
          <w:sz w:val="24"/>
          <w:szCs w:val="24"/>
          <w:lang w:val="en-US" w:eastAsia="ja-JP"/>
        </w:rPr>
        <w:t>emaining issues</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 on </w:t>
      </w:r>
      <w:r>
        <w:rPr>
          <w:rFonts w:hint="eastAsia" w:ascii="Times New Roman" w:hAnsi="Times New Roman" w:cs="Times New Roman"/>
          <w:i w:val="0"/>
          <w:iCs w:val="0"/>
          <w:caps w:val="0"/>
          <w:color w:val="auto"/>
          <w:spacing w:val="0"/>
          <w:sz w:val="24"/>
          <w:szCs w:val="24"/>
          <w:shd w:val="clear" w:fill="auto"/>
          <w:lang w:val="en-US" w:eastAsia="zh-CN"/>
        </w:rPr>
        <w:t>e</w:t>
      </w:r>
      <w:r>
        <w:rPr>
          <w:rFonts w:hint="eastAsia" w:ascii="Times New Roman" w:hAnsi="Times New Roman" w:eastAsia="宋体" w:cs="Times New Roman"/>
          <w:i w:val="0"/>
          <w:iCs w:val="0"/>
          <w:caps w:val="0"/>
          <w:color w:val="auto"/>
          <w:spacing w:val="0"/>
          <w:sz w:val="24"/>
          <w:szCs w:val="24"/>
          <w:shd w:val="clear" w:fill="auto"/>
          <w:lang w:val="en-US" w:eastAsia="zh-CN"/>
        </w:rPr>
        <w:t>nhancement o</w:t>
      </w:r>
      <w:r>
        <w:rPr>
          <w:rFonts w:hint="eastAsia" w:ascii="Times New Roman" w:hAnsi="Times New Roman" w:cs="Times New Roman"/>
          <w:i w:val="0"/>
          <w:iCs w:val="0"/>
          <w:caps w:val="0"/>
          <w:color w:val="auto"/>
          <w:spacing w:val="0"/>
          <w:sz w:val="24"/>
          <w:szCs w:val="24"/>
          <w:shd w:val="clear" w:fill="auto"/>
          <w:lang w:val="en-US" w:eastAsia="zh-CN"/>
        </w:rPr>
        <w:t>n</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 </w:t>
      </w:r>
      <w:r>
        <w:rPr>
          <w:rFonts w:hint="eastAsia" w:ascii="Times New Roman" w:hAnsi="Times New Roman" w:cs="Times New Roman"/>
          <w:i w:val="0"/>
          <w:iCs w:val="0"/>
          <w:caps w:val="0"/>
          <w:color w:val="auto"/>
          <w:spacing w:val="0"/>
          <w:sz w:val="24"/>
          <w:szCs w:val="24"/>
          <w:shd w:val="clear" w:fill="auto"/>
          <w:lang w:val="en-US" w:eastAsia="zh-CN"/>
        </w:rPr>
        <w:t>c</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ell DTX/DRX </w:t>
      </w:r>
      <w:r>
        <w:rPr>
          <w:rFonts w:hint="eastAsia" w:ascii="Times New Roman" w:hAnsi="Times New Roman" w:cs="Times New Roman"/>
          <w:i w:val="0"/>
          <w:iCs w:val="0"/>
          <w:caps w:val="0"/>
          <w:color w:val="auto"/>
          <w:spacing w:val="0"/>
          <w:sz w:val="24"/>
          <w:szCs w:val="24"/>
          <w:shd w:val="clear" w:fill="auto"/>
          <w:lang w:val="en-US" w:eastAsia="zh-CN"/>
        </w:rPr>
        <w:t>m</w:t>
      </w:r>
      <w:r>
        <w:rPr>
          <w:rFonts w:hint="eastAsia" w:ascii="Times New Roman" w:hAnsi="Times New Roman" w:eastAsia="宋体" w:cs="Times New Roman"/>
          <w:i w:val="0"/>
          <w:iCs w:val="0"/>
          <w:caps w:val="0"/>
          <w:color w:val="auto"/>
          <w:spacing w:val="0"/>
          <w:sz w:val="24"/>
          <w:szCs w:val="24"/>
          <w:shd w:val="clear" w:fill="auto"/>
          <w:lang w:val="en-US" w:eastAsia="zh-CN"/>
        </w:rPr>
        <w:t>echanism</w:t>
      </w:r>
    </w:p>
    <w:p>
      <w:pPr>
        <w:pStyle w:val="22"/>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8</w:t>
      </w:r>
      <w:r>
        <w:rPr>
          <w:rFonts w:ascii="Times New Roman" w:hAnsi="Times New Roman"/>
          <w:sz w:val="24"/>
          <w:szCs w:val="24"/>
          <w:lang w:eastAsia="zh-CN"/>
        </w:rPr>
        <w:t>.</w:t>
      </w:r>
      <w:r>
        <w:rPr>
          <w:rFonts w:hint="eastAsia" w:ascii="Times New Roman" w:hAnsi="Times New Roman"/>
          <w:sz w:val="24"/>
          <w:szCs w:val="24"/>
          <w:lang w:val="en-US" w:eastAsia="zh-CN"/>
        </w:rPr>
        <w:t>5</w:t>
      </w:r>
      <w:r>
        <w:rPr>
          <w:rFonts w:ascii="Times New Roman" w:hAnsi="Times New Roman"/>
          <w:sz w:val="24"/>
          <w:szCs w:val="24"/>
          <w:lang w:eastAsia="zh-CN"/>
        </w:rPr>
        <w:t>.</w:t>
      </w:r>
      <w:r>
        <w:rPr>
          <w:rFonts w:hint="eastAsia" w:ascii="Times New Roman" w:hAnsi="Times New Roman"/>
          <w:sz w:val="24"/>
          <w:szCs w:val="24"/>
          <w:lang w:val="en-US" w:eastAsia="zh-CN"/>
        </w:rPr>
        <w:t>2</w:t>
      </w:r>
    </w:p>
    <w:p>
      <w:pPr>
        <w:pStyle w:val="2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bookmarkStart w:id="4" w:name="_Toc120549591"/>
      <w:r>
        <w:rPr>
          <w:rFonts w:ascii="Arial" w:hAnsi="Arial" w:eastAsia="宋体" w:cs="Arial"/>
          <w:b w:val="0"/>
          <w:bCs w:val="0"/>
          <w:kern w:val="32"/>
          <w:sz w:val="32"/>
          <w:szCs w:val="32"/>
          <w:lang w:val="en-US" w:eastAsia="zh-CN" w:bidi="ar-SA"/>
        </w:rPr>
        <w:t>Introduction</w:t>
      </w:r>
      <w:bookmarkEnd w:id="4"/>
    </w:p>
    <w:p>
      <w:pPr>
        <w:spacing w:before="0" w:beforeLines="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w:t>
      </w:r>
      <w:r>
        <w:rPr>
          <w:rFonts w:hint="eastAsia" w:cs="Times New Roman"/>
          <w:sz w:val="20"/>
          <w:szCs w:val="20"/>
          <w:lang w:val="en-US" w:eastAsia="zh-CN"/>
        </w:rPr>
        <w:t>114</w:t>
      </w:r>
      <w:r>
        <w:rPr>
          <w:rFonts w:hint="default" w:ascii="Times New Roman" w:hAnsi="Times New Roman" w:cs="Times New Roman"/>
          <w:sz w:val="20"/>
          <w:szCs w:val="20"/>
          <w:lang w:val="en-US" w:eastAsia="zh-CN"/>
        </w:rPr>
        <w:t xml:space="preserve"> meeting, the following agreements </w:t>
      </w:r>
      <w:r>
        <w:rPr>
          <w:rFonts w:hint="eastAsia" w:cs="Times New Roman"/>
          <w:sz w:val="20"/>
          <w:szCs w:val="20"/>
          <w:lang w:val="en-US" w:eastAsia="zh-CN"/>
        </w:rPr>
        <w:t xml:space="preserve">were </w:t>
      </w:r>
      <w:r>
        <w:rPr>
          <w:rFonts w:hint="default" w:ascii="Times New Roman" w:hAnsi="Times New Roman" w:cs="Times New Roman"/>
          <w:sz w:val="20"/>
          <w:szCs w:val="20"/>
          <w:lang w:val="en-US" w:eastAsia="zh-CN"/>
        </w:rPr>
        <w:t>reached</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[1]：</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DCI format 2_X, for activation and deactivation of cell DTX and DRX configuration, </w:t>
            </w:r>
          </w:p>
          <w:p>
            <w:pPr>
              <w:keepNext w:val="0"/>
              <w:keepLines w:val="0"/>
              <w:widowControl/>
              <w:numPr>
                <w:ilvl w:val="0"/>
                <w:numId w:val="3"/>
              </w:numPr>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at least includes following fields, </w:t>
            </w:r>
          </w:p>
          <w:p>
            <w:pPr>
              <w:keepNext w:val="0"/>
              <w:keepLines w:val="0"/>
              <w:widowControl/>
              <w:numPr>
                <w:ilvl w:val="1"/>
                <w:numId w:val="3"/>
              </w:numPr>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N information block field(s), </w:t>
            </w:r>
          </w:p>
          <w:p>
            <w:pPr>
              <w:keepNext w:val="0"/>
              <w:keepLines w:val="0"/>
              <w:widowControl/>
              <w:numPr>
                <w:ilvl w:val="1"/>
                <w:numId w:val="3"/>
              </w:numPr>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Spare/reserved padding bits to match the size configured for DCI 2_X (if needed)</w:t>
            </w:r>
          </w:p>
          <w:p>
            <w:pPr>
              <w:keepNext w:val="0"/>
              <w:keepLines w:val="0"/>
              <w:widowControl/>
              <w:numPr>
                <w:ilvl w:val="0"/>
                <w:numId w:val="3"/>
              </w:numPr>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payload size is configurable and within the bounds set by existing RAN1 specification</w:t>
            </w:r>
          </w:p>
          <w:p>
            <w:pPr>
              <w:keepNext w:val="0"/>
              <w:keepLines w:val="0"/>
              <w:widowControl/>
              <w:numPr>
                <w:ilvl w:val="0"/>
                <w:numId w:val="3"/>
              </w:numPr>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an information block field contains signaling of activation or deactivation of ‘a configuration of cell DTX and/or DRX’ of ‘a serving cell’</w:t>
            </w:r>
          </w:p>
          <w:p>
            <w:pPr>
              <w:keepNext w:val="0"/>
              <w:keepLines w:val="0"/>
              <w:widowControl/>
              <w:numPr>
                <w:ilvl w:val="0"/>
                <w:numId w:val="3"/>
              </w:numPr>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for serving cell configured with SUL, the same bit is applicable for both NUL and SUL</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Above applies at least for sTRP case.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numPr>
                <w:ilvl w:val="-1"/>
                <w:numId w:val="0"/>
              </w:numPr>
              <w:suppressLineNumbers w:val="0"/>
              <w:suppressAutoHyphens/>
              <w:overflowPunct/>
              <w:autoSpaceDE/>
              <w:autoSpaceDN/>
              <w:adjustRightInd/>
              <w:spacing w:beforeAutospacing="0" w:after="0" w:afterLines="-2147483648" w:afterAutospacing="0" w:line="254" w:lineRule="auto"/>
              <w:ind w:left="0" w:right="0" w:firstLine="0"/>
              <w:jc w:val="both"/>
              <w:textAlignment w:val="auto"/>
              <w:rPr>
                <w:rFonts w:hint="eastAsia" w:ascii="Times" w:hAnsi="Times" w:eastAsia="Batang" w:cs="Times"/>
                <w:sz w:val="20"/>
                <w:szCs w:val="20"/>
                <w:lang w:eastAsia="zh-CN"/>
              </w:rPr>
            </w:pPr>
            <w:r>
              <w:rPr>
                <w:rFonts w:hint="eastAsia" w:ascii="Times New Roman" w:hAnsi="Times New Roman"/>
                <w:sz w:val="20"/>
                <w:szCs w:val="20"/>
                <w:lang w:eastAsia="zh-CN"/>
              </w:rPr>
              <w:t>Support new RNTI (e.g. nes-RNTI) which is configured by higher layer, for scrambling of DCI format 2_X.</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tabs>
                <w:tab w:val="left" w:pos="1480"/>
              </w:tabs>
              <w:suppressAutoHyphens/>
              <w:overflowPunct w:val="0"/>
              <w:autoSpaceDE w:val="0"/>
              <w:autoSpaceDN w:val="0"/>
              <w:adjustRightInd w:val="0"/>
              <w:spacing w:beforeAutospacing="0" w:afterAutospacing="0"/>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From RAN1 point of view, DCI format 2_X supports activation/deactivation of cell DTX/DRX configuration of multiple serving cells and support activation/deactivation per cell.</w:t>
            </w:r>
          </w:p>
          <w:p>
            <w:pPr>
              <w:pStyle w:val="23"/>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eastAsia="zh-CN"/>
              </w:rPr>
            </w:pPr>
            <w:r>
              <w:rPr>
                <w:rFonts w:hint="eastAsia"/>
                <w:sz w:val="20"/>
                <w:lang w:eastAsia="zh-CN"/>
              </w:rPr>
              <w:t>UE monitor DCI format 2_X in one serving cell.</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Delay that is applied after DCI Format 2_X reception that activate/deactivate cell DTX/DRX configuration is introduced in Rel-18.</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DCI format 2_X is monitored in the common search space.</w:t>
            </w:r>
          </w:p>
          <w:p>
            <w:pPr>
              <w:keepNext w:val="0"/>
              <w:keepLines w:val="0"/>
              <w:widowControl/>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Note: Search space set configuration for DCI format 2_X is separately provided by higher layers.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Malgun Gothic"/>
                <w:sz w:val="20"/>
                <w:szCs w:val="20"/>
                <w:lang w:eastAsia="ko-KR"/>
              </w:rPr>
            </w:pPr>
            <w:r>
              <w:rPr>
                <w:rFonts w:hint="eastAsia" w:ascii="Times New Roman" w:hAnsi="Times New Roman" w:eastAsia="Malgun Gothic"/>
                <w:sz w:val="20"/>
                <w:szCs w:val="20"/>
                <w:lang w:eastAsia="ko-KR"/>
              </w:rPr>
              <w:t xml:space="preserve">The following high layer signaling are to be included to the RRC parameter list </w:t>
            </w:r>
            <w:r>
              <w:rPr>
                <w:rFonts w:hint="eastAsia" w:ascii="Times New Roman" w:hAnsi="Times New Roman"/>
                <w:sz w:val="20"/>
                <w:szCs w:val="20"/>
                <w:lang w:eastAsia="zh-CN"/>
              </w:rPr>
              <w:t>for new DCI format 2_X for activation and deactivation of cell DTX/DRX</w:t>
            </w:r>
          </w:p>
          <w:p>
            <w:pPr>
              <w:keepNext w:val="0"/>
              <w:keepLines w:val="0"/>
              <w:widowControl/>
              <w:numPr>
                <w:ilvl w:val="0"/>
                <w:numId w:val="5"/>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search space set configuration with new DCI format 2_X</w:t>
            </w:r>
          </w:p>
          <w:p>
            <w:pPr>
              <w:keepNext w:val="0"/>
              <w:keepLines w:val="0"/>
              <w:widowControl/>
              <w:numPr>
                <w:ilvl w:val="0"/>
                <w:numId w:val="5"/>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DCI size for new DCI format 2_X</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numPr>
                <w:ilvl w:val="0"/>
                <w:numId w:val="6"/>
              </w:numPr>
              <w:suppressLineNumbers w:val="0"/>
              <w:suppressAutoHyphens/>
              <w:overflowPunct w:val="0"/>
              <w:autoSpaceDE w:val="0"/>
              <w:autoSpaceDN w:val="0"/>
              <w:adjustRightInd w:val="0"/>
              <w:spacing w:beforeAutospacing="0" w:afterAutospacing="0" w:line="254" w:lineRule="auto"/>
              <w:ind w:right="0"/>
              <w:textAlignment w:val="baseline"/>
              <w:rPr>
                <w:rFonts w:hint="eastAsia" w:ascii="Times New Roman" w:hAnsi="Times New Roman" w:eastAsia="Malgun Gothic"/>
                <w:sz w:val="20"/>
                <w:szCs w:val="20"/>
                <w:lang w:eastAsia="ko-KR"/>
              </w:rPr>
            </w:pPr>
            <w:r>
              <w:rPr>
                <w:rFonts w:hint="eastAsia" w:ascii="Times New Roman" w:hAnsi="Times New Roman" w:eastAsia="Malgun Gothic"/>
                <w:sz w:val="20"/>
                <w:szCs w:val="20"/>
                <w:lang w:eastAsia="ko-KR"/>
              </w:rPr>
              <w:t>An information block field of DCI format 2_X is variable size either 1 or 2 bits.</w:t>
            </w:r>
          </w:p>
          <w:p>
            <w:pPr>
              <w:keepNext w:val="0"/>
              <w:keepLines w:val="0"/>
              <w:widowControl/>
              <w:numPr>
                <w:ilvl w:val="1"/>
                <w:numId w:val="6"/>
              </w:numPr>
              <w:suppressLineNumbers w:val="0"/>
              <w:suppressAutoHyphens/>
              <w:overflowPunct w:val="0"/>
              <w:autoSpaceDE w:val="0"/>
              <w:autoSpaceDN w:val="0"/>
              <w:adjustRightInd w:val="0"/>
              <w:spacing w:beforeAutospacing="0" w:afterAutospacing="0" w:line="254" w:lineRule="auto"/>
              <w:ind w:right="0"/>
              <w:textAlignment w:val="baseline"/>
              <w:rPr>
                <w:rFonts w:hint="eastAsia" w:ascii="Times New Roman" w:hAnsi="Times New Roman" w:eastAsia="Malgun Gothic"/>
                <w:sz w:val="20"/>
                <w:szCs w:val="20"/>
                <w:lang w:eastAsia="ko-KR"/>
              </w:rPr>
            </w:pPr>
            <w:r>
              <w:rPr>
                <w:rFonts w:hint="eastAsia" w:ascii="Times New Roman" w:hAnsi="Times New Roman" w:eastAsia="Malgun Gothic"/>
                <w:sz w:val="20"/>
                <w:szCs w:val="20"/>
                <w:lang w:eastAsia="ko-KR"/>
              </w:rPr>
              <w:t>Higher layer signaling configures whether the activation/deactivation of cell DTX and/or cell DRX is indicated in DCI format 2_X for a serving cell.</w:t>
            </w:r>
          </w:p>
          <w:p>
            <w:pPr>
              <w:keepNext w:val="0"/>
              <w:keepLines w:val="0"/>
              <w:widowControl/>
              <w:numPr>
                <w:ilvl w:val="2"/>
                <w:numId w:val="6"/>
              </w:numPr>
              <w:suppressLineNumbers w:val="0"/>
              <w:suppressAutoHyphens/>
              <w:overflowPunct w:val="0"/>
              <w:autoSpaceDE w:val="0"/>
              <w:autoSpaceDN w:val="0"/>
              <w:adjustRightInd w:val="0"/>
              <w:spacing w:beforeAutospacing="0" w:afterAutospacing="0" w:line="254" w:lineRule="auto"/>
              <w:ind w:right="0"/>
              <w:textAlignment w:val="baseline"/>
              <w:rPr>
                <w:rFonts w:hint="eastAsia" w:ascii="Times New Roman" w:hAnsi="Times New Roman" w:eastAsia="Malgun Gothic"/>
                <w:sz w:val="20"/>
                <w:szCs w:val="20"/>
                <w:lang w:eastAsia="ko-KR"/>
              </w:rPr>
            </w:pPr>
            <w:r>
              <w:rPr>
                <w:rFonts w:hint="eastAsia" w:ascii="Times New Roman" w:hAnsi="Times New Roman" w:eastAsia="Malgun Gothic"/>
                <w:sz w:val="20"/>
                <w:szCs w:val="20"/>
                <w:lang w:eastAsia="ko-KR"/>
              </w:rPr>
              <w:t xml:space="preserve">If both cell DTX and cell DRX are configured for a serving cell, </w:t>
            </w:r>
          </w:p>
          <w:p>
            <w:pPr>
              <w:keepNext w:val="0"/>
              <w:keepLines w:val="0"/>
              <w:widowControl/>
              <w:numPr>
                <w:ilvl w:val="3"/>
                <w:numId w:val="6"/>
              </w:numPr>
              <w:suppressLineNumbers w:val="0"/>
              <w:suppressAutoHyphens/>
              <w:overflowPunct w:val="0"/>
              <w:autoSpaceDE w:val="0"/>
              <w:autoSpaceDN w:val="0"/>
              <w:adjustRightInd w:val="0"/>
              <w:spacing w:beforeAutospacing="0" w:afterAutospacing="0" w:line="254" w:lineRule="auto"/>
              <w:ind w:right="0"/>
              <w:textAlignment w:val="baseline"/>
              <w:rPr>
                <w:rFonts w:hint="eastAsia" w:ascii="Times New Roman" w:hAnsi="Times New Roman" w:eastAsia="Malgun Gothic"/>
                <w:sz w:val="20"/>
                <w:szCs w:val="20"/>
                <w:lang w:eastAsia="ko-KR"/>
              </w:rPr>
            </w:pPr>
            <w:r>
              <w:rPr>
                <w:rFonts w:hint="eastAsia" w:ascii="Times New Roman" w:hAnsi="Times New Roman" w:eastAsia="Malgun Gothic"/>
                <w:sz w:val="20"/>
                <w:szCs w:val="20"/>
                <w:lang w:eastAsia="ko-KR"/>
              </w:rPr>
              <w:t>1</w:t>
            </w:r>
            <w:r>
              <w:rPr>
                <w:rFonts w:hint="eastAsia" w:ascii="Times New Roman" w:hAnsi="Times New Roman" w:eastAsia="Malgun Gothic"/>
                <w:sz w:val="20"/>
                <w:szCs w:val="20"/>
                <w:vertAlign w:val="superscript"/>
                <w:lang w:eastAsia="ko-KR"/>
              </w:rPr>
              <w:t>st</w:t>
            </w:r>
            <w:r>
              <w:rPr>
                <w:rFonts w:hint="eastAsia" w:ascii="Times New Roman" w:hAnsi="Times New Roman" w:eastAsia="Malgun Gothic"/>
                <w:sz w:val="20"/>
                <w:szCs w:val="20"/>
                <w:lang w:eastAsia="ko-KR"/>
              </w:rPr>
              <w:t xml:space="preserve"> bit corresponds to activation/deactivation of cell DTX configuration, and</w:t>
            </w:r>
          </w:p>
          <w:p>
            <w:pPr>
              <w:keepNext w:val="0"/>
              <w:keepLines w:val="0"/>
              <w:widowControl/>
              <w:numPr>
                <w:ilvl w:val="3"/>
                <w:numId w:val="6"/>
              </w:numPr>
              <w:suppressLineNumbers w:val="0"/>
              <w:suppressAutoHyphens/>
              <w:overflowPunct w:val="0"/>
              <w:autoSpaceDE w:val="0"/>
              <w:autoSpaceDN w:val="0"/>
              <w:adjustRightInd w:val="0"/>
              <w:spacing w:beforeAutospacing="0" w:afterAutospacing="0" w:line="254" w:lineRule="auto"/>
              <w:ind w:right="0"/>
              <w:textAlignment w:val="baseline"/>
              <w:rPr>
                <w:rFonts w:hint="eastAsia" w:ascii="Times New Roman" w:hAnsi="Times New Roman" w:eastAsia="Malgun Gothic"/>
                <w:sz w:val="20"/>
                <w:szCs w:val="20"/>
                <w:lang w:eastAsia="ko-KR"/>
              </w:rPr>
            </w:pPr>
            <w:r>
              <w:rPr>
                <w:rFonts w:hint="eastAsia" w:ascii="Times New Roman" w:hAnsi="Times New Roman" w:eastAsia="Malgun Gothic"/>
                <w:sz w:val="20"/>
                <w:szCs w:val="20"/>
                <w:lang w:eastAsia="ko-KR"/>
              </w:rPr>
              <w:t>2</w:t>
            </w:r>
            <w:r>
              <w:rPr>
                <w:rFonts w:hint="eastAsia" w:ascii="Times New Roman" w:hAnsi="Times New Roman" w:eastAsia="Malgun Gothic"/>
                <w:sz w:val="20"/>
                <w:szCs w:val="20"/>
                <w:vertAlign w:val="superscript"/>
                <w:lang w:eastAsia="ko-KR"/>
              </w:rPr>
              <w:t>nd</w:t>
            </w:r>
            <w:r>
              <w:rPr>
                <w:rFonts w:hint="eastAsia" w:ascii="Times New Roman" w:hAnsi="Times New Roman" w:eastAsia="Malgun Gothic"/>
                <w:sz w:val="20"/>
                <w:szCs w:val="20"/>
                <w:lang w:eastAsia="ko-KR"/>
              </w:rPr>
              <w:t xml:space="preserve"> bit corresponds to activation/deactivation of cell DRX configuration, </w:t>
            </w:r>
          </w:p>
          <w:p>
            <w:pPr>
              <w:keepNext w:val="0"/>
              <w:keepLines w:val="0"/>
              <w:widowControl/>
              <w:numPr>
                <w:ilvl w:val="2"/>
                <w:numId w:val="6"/>
              </w:numPr>
              <w:suppressLineNumbers w:val="0"/>
              <w:suppressAutoHyphens/>
              <w:overflowPunct w:val="0"/>
              <w:autoSpaceDE w:val="0"/>
              <w:autoSpaceDN w:val="0"/>
              <w:adjustRightInd w:val="0"/>
              <w:spacing w:beforeAutospacing="0" w:afterAutospacing="0" w:line="254" w:lineRule="auto"/>
              <w:ind w:right="0"/>
              <w:textAlignment w:val="baseline"/>
              <w:rPr>
                <w:rFonts w:hint="eastAsia" w:ascii="Times New Roman" w:hAnsi="Times New Roman" w:eastAsia="Malgun Gothic"/>
                <w:sz w:val="20"/>
                <w:szCs w:val="20"/>
                <w:lang w:eastAsia="ko-KR"/>
              </w:rPr>
            </w:pPr>
            <w:r>
              <w:rPr>
                <w:rFonts w:hint="eastAsia" w:ascii="Times New Roman" w:hAnsi="Times New Roman" w:eastAsia="Malgun Gothic"/>
                <w:sz w:val="20"/>
                <w:szCs w:val="20"/>
                <w:lang w:eastAsia="ko-KR"/>
              </w:rPr>
              <w:t>otherwise, the 1 bit corresponds to the configured cell DTX or cell DRX configuration.</w:t>
            </w:r>
          </w:p>
          <w:p>
            <w:pPr>
              <w:keepNext w:val="0"/>
              <w:keepLines w:val="0"/>
              <w:widowControl/>
              <w:numPr>
                <w:ilvl w:val="1"/>
                <w:numId w:val="6"/>
              </w:numPr>
              <w:suppressLineNumbers w:val="0"/>
              <w:suppressAutoHyphens/>
              <w:overflowPunct w:val="0"/>
              <w:autoSpaceDE w:val="0"/>
              <w:autoSpaceDN w:val="0"/>
              <w:adjustRightInd w:val="0"/>
              <w:spacing w:beforeAutospacing="0" w:afterAutospacing="0" w:line="254" w:lineRule="auto"/>
              <w:ind w:right="0"/>
              <w:textAlignment w:val="baseline"/>
              <w:rPr>
                <w:rFonts w:hint="eastAsia" w:ascii="Times New Roman" w:hAnsi="Times New Roman" w:eastAsia="Malgun Gothic"/>
                <w:color w:val="auto"/>
                <w:sz w:val="20"/>
                <w:szCs w:val="20"/>
                <w:u w:val="none"/>
                <w:lang w:eastAsia="ko-KR"/>
              </w:rPr>
            </w:pPr>
            <w:r>
              <w:rPr>
                <w:rFonts w:hint="eastAsia" w:ascii="Times New Roman" w:hAnsi="Times New Roman" w:eastAsia="Malgun Gothic"/>
                <w:color w:val="auto"/>
                <w:sz w:val="20"/>
                <w:szCs w:val="20"/>
                <w:u w:val="none"/>
                <w:lang w:eastAsia="ko-KR"/>
              </w:rPr>
              <w:t>Note: this does not imply there may be separate higher layer signaling to enable L1 signaling based activation/deactivation for a cell DTX and/or cell DRX configuration. Signaling design is up to RAN2.</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For each serving cell configured with L1 signaling based activation/deactivation of cell DTX and/or cell DRX configuration, starting bit position of an information block of DCI format 2_X is provided by UE specific higher layer signaling.</w:t>
            </w:r>
          </w:p>
          <w:p>
            <w:pPr>
              <w:keepNext w:val="0"/>
              <w:keepLines w:val="0"/>
              <w:widowControl/>
              <w:numPr>
                <w:ilvl w:val="0"/>
                <w:numId w:val="7"/>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UE is expected to apply cell DTX or DRX activation/deactivation change at beginning of the slot X where the SCS of slot X is with respect to the active DL or UL BWP of the serving cell, respectively.</w:t>
            </w:r>
          </w:p>
          <w:p>
            <w:pPr>
              <w:keepNext w:val="0"/>
              <w:keepLines w:val="0"/>
              <w:widowControl/>
              <w:numPr>
                <w:ilvl w:val="0"/>
                <w:numId w:val="7"/>
              </w:numPr>
              <w:suppressLineNumbers w:val="0"/>
              <w:suppressAutoHyphens/>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Slot X is the first slot whose beginning is no earlier than </w:t>
            </w:r>
            <w:r>
              <w:rPr>
                <w:rFonts w:hint="eastAsia" w:ascii="Times New Roman" w:hAnsi="Times New Roman"/>
                <w:color w:val="auto"/>
                <w:sz w:val="20"/>
                <w:szCs w:val="20"/>
                <w:u w:val="single"/>
                <w:lang w:eastAsia="zh-CN"/>
              </w:rPr>
              <w:t>(i.e., same or after)</w:t>
            </w:r>
            <w:r>
              <w:rPr>
                <w:rFonts w:hint="eastAsia" w:ascii="Times New Roman" w:hAnsi="Times New Roman"/>
                <w:color w:val="auto"/>
                <w:sz w:val="20"/>
                <w:szCs w:val="20"/>
                <w:lang w:eastAsia="zh-CN"/>
              </w:rPr>
              <w:t xml:space="preserve"> b</w:t>
            </w:r>
            <w:r>
              <w:rPr>
                <w:rFonts w:hint="eastAsia" w:ascii="Times New Roman" w:hAnsi="Times New Roman"/>
                <w:sz w:val="20"/>
                <w:szCs w:val="20"/>
                <w:lang w:eastAsia="zh-CN"/>
              </w:rPr>
              <w:t>eginning of slot n + D, where D is the delay and n is the slot containing the PDCCH of DCI format 2_X based on SCS of PDCCH.</w:t>
            </w:r>
          </w:p>
          <w:p>
            <w:pPr>
              <w:keepNext w:val="0"/>
              <w:keepLines w:val="0"/>
              <w:widowControl/>
              <w:suppressLineNumbers w:val="0"/>
              <w:overflowPunct w:val="0"/>
              <w:autoSpaceDE w:val="0"/>
              <w:autoSpaceDN w:val="0"/>
              <w:adjustRightInd w:val="0"/>
              <w:spacing w:beforeAutospacing="0" w:afterAutospacing="0" w:line="252" w:lineRule="auto"/>
              <w:ind w:right="0"/>
              <w:jc w:val="both"/>
              <w:textAlignment w:val="baseline"/>
              <w:rPr>
                <w:rFonts w:hint="eastAsia" w:ascii="Times New Roman" w:hAnsi="Times New Roman"/>
                <w:sz w:val="20"/>
                <w:szCs w:val="20"/>
                <w:lang w:eastAsia="zh-CN"/>
              </w:rPr>
            </w:pPr>
          </w:p>
          <w:tbl>
            <w:tblPr>
              <w:tblStyle w:val="18"/>
              <w:tblW w:w="0" w:type="auto"/>
              <w:jc w:val="center"/>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Layout w:type="fixed"/>
              <w:tblCellMar>
                <w:top w:w="0" w:type="dxa"/>
                <w:left w:w="108" w:type="dxa"/>
                <w:bottom w:w="0" w:type="dxa"/>
                <w:right w:w="108" w:type="dxa"/>
              </w:tblCellMar>
            </w:tblPr>
            <w:tblGrid>
              <w:gridCol w:w="2434"/>
              <w:gridCol w:w="2710"/>
            </w:tblGrid>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2" w:hRule="atLeast"/>
                <w:jc w:val="center"/>
              </w:trPr>
              <w:tc>
                <w:tcPr>
                  <w:tcW w:w="2434" w:type="dxa"/>
                  <w:shd w:val="clear" w:color="auto" w:fill="auto"/>
                </w:tcPr>
                <w:p>
                  <w:pPr>
                    <w:keepNext w:val="0"/>
                    <w:keepLines w:val="0"/>
                    <w:widowControl/>
                    <w:suppressLineNumbers w:val="0"/>
                    <w:spacing w:beforeAutospacing="0" w:afterAutospacing="0"/>
                    <w:ind w:right="0"/>
                    <w:jc w:val="both"/>
                    <w:rPr>
                      <w:rFonts w:hint="eastAsia" w:ascii="Arial" w:hAnsi="Arial" w:cs="Arial"/>
                      <w:sz w:val="16"/>
                      <w:szCs w:val="16"/>
                      <w:lang w:eastAsia="zh-CN"/>
                    </w:rPr>
                  </w:pPr>
                  <w:r>
                    <w:rPr>
                      <w:rFonts w:hint="eastAsia" w:ascii="Arial" w:hAnsi="Arial" w:cs="Arial"/>
                      <w:sz w:val="16"/>
                      <w:szCs w:val="16"/>
                      <w:lang w:eastAsia="zh-CN"/>
                    </w:rPr>
                    <w:t>SCS of PDCCH (kHz)</w:t>
                  </w:r>
                </w:p>
              </w:tc>
              <w:tc>
                <w:tcPr>
                  <w:tcW w:w="2710" w:type="dxa"/>
                  <w:shd w:val="clear" w:color="auto" w:fill="auto"/>
                </w:tcPr>
                <w:p>
                  <w:pPr>
                    <w:keepNext w:val="0"/>
                    <w:keepLines w:val="0"/>
                    <w:widowControl/>
                    <w:suppressLineNumbers w:val="0"/>
                    <w:spacing w:beforeAutospacing="0" w:afterAutospacing="0"/>
                    <w:ind w:right="0"/>
                    <w:jc w:val="both"/>
                    <w:rPr>
                      <w:rFonts w:hint="eastAsia" w:ascii="Arial" w:hAnsi="Arial" w:cs="Arial"/>
                      <w:sz w:val="16"/>
                      <w:szCs w:val="16"/>
                      <w:lang w:eastAsia="zh-CN"/>
                    </w:rPr>
                  </w:pPr>
                  <w:r>
                    <w:rPr>
                      <w:rFonts w:hint="eastAsia" w:ascii="Arial" w:hAnsi="Arial" w:cs="Arial"/>
                      <w:sz w:val="16"/>
                      <w:szCs w:val="16"/>
                      <w:lang w:eastAsia="zh-CN"/>
                    </w:rPr>
                    <w:t>Value of D (in unit of slot)</w:t>
                  </w:r>
                </w:p>
              </w:tc>
            </w:tr>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9" w:hRule="atLeast"/>
                <w:jc w:val="center"/>
              </w:trPr>
              <w:tc>
                <w:tcPr>
                  <w:tcW w:w="2434" w:type="dxa"/>
                  <w:shd w:val="clear" w:color="auto" w:fill="auto"/>
                </w:tcPr>
                <w:p>
                  <w:pPr>
                    <w:keepNext w:val="0"/>
                    <w:keepLines w:val="0"/>
                    <w:widowControl/>
                    <w:suppressLineNumbers w:val="0"/>
                    <w:spacing w:beforeAutospacing="0" w:afterAutospacing="0"/>
                    <w:ind w:right="0"/>
                    <w:jc w:val="both"/>
                    <w:rPr>
                      <w:rFonts w:hint="eastAsia" w:ascii="Arial" w:hAnsi="Arial" w:cs="Arial"/>
                      <w:sz w:val="16"/>
                      <w:szCs w:val="16"/>
                      <w:lang w:eastAsia="zh-CN"/>
                    </w:rPr>
                  </w:pPr>
                  <w:r>
                    <w:rPr>
                      <w:rFonts w:hint="eastAsia" w:ascii="Arial" w:hAnsi="Arial" w:cs="Arial"/>
                      <w:sz w:val="16"/>
                      <w:szCs w:val="16"/>
                      <w:lang w:eastAsia="zh-CN"/>
                    </w:rPr>
                    <w:t>15</w:t>
                  </w:r>
                </w:p>
              </w:tc>
              <w:tc>
                <w:tcPr>
                  <w:tcW w:w="2710" w:type="dxa"/>
                  <w:shd w:val="clear" w:color="auto" w:fill="auto"/>
                </w:tcPr>
                <w:p>
                  <w:pPr>
                    <w:keepNext w:val="0"/>
                    <w:keepLines w:val="0"/>
                    <w:widowControl/>
                    <w:suppressLineNumbers w:val="0"/>
                    <w:spacing w:beforeAutospacing="0" w:afterAutospacing="0"/>
                    <w:ind w:right="0"/>
                    <w:jc w:val="both"/>
                    <w:rPr>
                      <w:rFonts w:hint="eastAsia" w:ascii="Arial" w:hAnsi="Arial" w:cs="Arial"/>
                      <w:strike/>
                      <w:color w:val="C00000"/>
                      <w:sz w:val="16"/>
                      <w:szCs w:val="16"/>
                      <w:highlight w:val="yellow"/>
                      <w:lang w:eastAsia="zh-CN"/>
                    </w:rPr>
                  </w:pPr>
                  <w:r>
                    <w:rPr>
                      <w:rFonts w:hint="eastAsia" w:ascii="Arial" w:hAnsi="Arial" w:cs="Arial"/>
                      <w:sz w:val="16"/>
                      <w:szCs w:val="16"/>
                      <w:lang w:eastAsia="zh-CN"/>
                    </w:rPr>
                    <w:t>3</w:t>
                  </w:r>
                </w:p>
              </w:tc>
            </w:tr>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2" w:hRule="atLeast"/>
                <w:jc w:val="center"/>
              </w:trPr>
              <w:tc>
                <w:tcPr>
                  <w:tcW w:w="2434" w:type="dxa"/>
                  <w:shd w:val="clear" w:color="auto" w:fill="auto"/>
                </w:tcPr>
                <w:p>
                  <w:pPr>
                    <w:keepNext w:val="0"/>
                    <w:keepLines w:val="0"/>
                    <w:widowControl/>
                    <w:suppressLineNumbers w:val="0"/>
                    <w:spacing w:beforeAutospacing="0" w:afterAutospacing="0"/>
                    <w:ind w:right="0"/>
                    <w:jc w:val="both"/>
                    <w:rPr>
                      <w:rFonts w:hint="eastAsia" w:ascii="Arial" w:hAnsi="Arial" w:cs="Arial"/>
                      <w:sz w:val="16"/>
                      <w:szCs w:val="16"/>
                      <w:lang w:eastAsia="zh-CN"/>
                    </w:rPr>
                  </w:pPr>
                  <w:r>
                    <w:rPr>
                      <w:rFonts w:hint="eastAsia" w:ascii="Arial" w:hAnsi="Arial" w:cs="Arial"/>
                      <w:sz w:val="16"/>
                      <w:szCs w:val="16"/>
                      <w:lang w:eastAsia="zh-CN"/>
                    </w:rPr>
                    <w:t>30</w:t>
                  </w:r>
                </w:p>
              </w:tc>
              <w:tc>
                <w:tcPr>
                  <w:tcW w:w="2710" w:type="dxa"/>
                  <w:shd w:val="clear" w:color="auto" w:fill="auto"/>
                </w:tcPr>
                <w:p>
                  <w:pPr>
                    <w:keepNext w:val="0"/>
                    <w:keepLines w:val="0"/>
                    <w:widowControl/>
                    <w:suppressLineNumbers w:val="0"/>
                    <w:spacing w:beforeAutospacing="0" w:afterAutospacing="0"/>
                    <w:ind w:right="0"/>
                    <w:jc w:val="both"/>
                    <w:rPr>
                      <w:rFonts w:hint="eastAsia" w:ascii="Arial" w:hAnsi="Arial" w:cs="Arial"/>
                      <w:strike/>
                      <w:color w:val="C00000"/>
                      <w:sz w:val="16"/>
                      <w:szCs w:val="16"/>
                      <w:highlight w:val="yellow"/>
                      <w:lang w:eastAsia="zh-CN"/>
                    </w:rPr>
                  </w:pPr>
                  <w:r>
                    <w:rPr>
                      <w:rFonts w:hint="eastAsia" w:ascii="Arial" w:hAnsi="Arial" w:cs="Arial"/>
                      <w:sz w:val="16"/>
                      <w:szCs w:val="16"/>
                      <w:lang w:eastAsia="zh-CN"/>
                    </w:rPr>
                    <w:t>6</w:t>
                  </w:r>
                </w:p>
              </w:tc>
            </w:tr>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2" w:hRule="atLeast"/>
                <w:jc w:val="center"/>
              </w:trPr>
              <w:tc>
                <w:tcPr>
                  <w:tcW w:w="2434" w:type="dxa"/>
                  <w:shd w:val="clear" w:color="auto" w:fill="auto"/>
                </w:tcPr>
                <w:p>
                  <w:pPr>
                    <w:keepNext w:val="0"/>
                    <w:keepLines w:val="0"/>
                    <w:widowControl/>
                    <w:suppressLineNumbers w:val="0"/>
                    <w:spacing w:beforeAutospacing="0" w:afterAutospacing="0"/>
                    <w:ind w:right="0"/>
                    <w:jc w:val="both"/>
                    <w:rPr>
                      <w:rFonts w:hint="eastAsia" w:ascii="Arial" w:hAnsi="Arial" w:cs="Arial"/>
                      <w:sz w:val="16"/>
                      <w:szCs w:val="16"/>
                      <w:lang w:eastAsia="zh-CN"/>
                    </w:rPr>
                  </w:pPr>
                  <w:r>
                    <w:rPr>
                      <w:rFonts w:hint="eastAsia" w:ascii="Arial" w:hAnsi="Arial" w:cs="Arial"/>
                      <w:sz w:val="16"/>
                      <w:szCs w:val="16"/>
                      <w:lang w:eastAsia="zh-CN"/>
                    </w:rPr>
                    <w:t>60</w:t>
                  </w:r>
                </w:p>
              </w:tc>
              <w:tc>
                <w:tcPr>
                  <w:tcW w:w="2710" w:type="dxa"/>
                  <w:shd w:val="clear" w:color="auto" w:fill="auto"/>
                </w:tcPr>
                <w:p>
                  <w:pPr>
                    <w:keepNext w:val="0"/>
                    <w:keepLines w:val="0"/>
                    <w:widowControl/>
                    <w:suppressLineNumbers w:val="0"/>
                    <w:spacing w:beforeAutospacing="0" w:afterAutospacing="0"/>
                    <w:ind w:right="0"/>
                    <w:jc w:val="both"/>
                    <w:rPr>
                      <w:rFonts w:hint="eastAsia" w:ascii="Arial" w:hAnsi="Arial" w:cs="Arial"/>
                      <w:strike/>
                      <w:color w:val="C00000"/>
                      <w:sz w:val="16"/>
                      <w:szCs w:val="16"/>
                      <w:highlight w:val="yellow"/>
                      <w:lang w:eastAsia="zh-CN"/>
                    </w:rPr>
                  </w:pPr>
                  <w:r>
                    <w:rPr>
                      <w:rFonts w:hint="eastAsia" w:ascii="Arial" w:hAnsi="Arial" w:cs="Arial"/>
                      <w:sz w:val="16"/>
                      <w:szCs w:val="16"/>
                      <w:lang w:eastAsia="zh-CN"/>
                    </w:rPr>
                    <w:t>12</w:t>
                  </w:r>
                </w:p>
              </w:tc>
            </w:tr>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9" w:hRule="atLeast"/>
                <w:jc w:val="center"/>
              </w:trPr>
              <w:tc>
                <w:tcPr>
                  <w:tcW w:w="2434" w:type="dxa"/>
                  <w:shd w:val="clear" w:color="auto" w:fill="auto"/>
                </w:tcPr>
                <w:p>
                  <w:pPr>
                    <w:keepNext w:val="0"/>
                    <w:keepLines w:val="0"/>
                    <w:widowControl/>
                    <w:suppressLineNumbers w:val="0"/>
                    <w:spacing w:beforeAutospacing="0" w:afterAutospacing="0"/>
                    <w:ind w:right="0"/>
                    <w:jc w:val="both"/>
                    <w:rPr>
                      <w:rFonts w:hint="eastAsia" w:ascii="Arial" w:hAnsi="Arial" w:cs="Arial"/>
                      <w:sz w:val="16"/>
                      <w:szCs w:val="16"/>
                      <w:lang w:eastAsia="zh-CN"/>
                    </w:rPr>
                  </w:pPr>
                  <w:r>
                    <w:rPr>
                      <w:rFonts w:hint="eastAsia" w:ascii="Arial" w:hAnsi="Arial" w:cs="Arial"/>
                      <w:sz w:val="16"/>
                      <w:szCs w:val="16"/>
                      <w:lang w:eastAsia="zh-CN"/>
                    </w:rPr>
                    <w:t>120</w:t>
                  </w:r>
                </w:p>
              </w:tc>
              <w:tc>
                <w:tcPr>
                  <w:tcW w:w="2710" w:type="dxa"/>
                  <w:shd w:val="clear" w:color="auto" w:fill="auto"/>
                </w:tcPr>
                <w:p>
                  <w:pPr>
                    <w:keepNext w:val="0"/>
                    <w:keepLines w:val="0"/>
                    <w:widowControl/>
                    <w:suppressLineNumbers w:val="0"/>
                    <w:spacing w:beforeAutospacing="0" w:afterAutospacing="0"/>
                    <w:ind w:right="0"/>
                    <w:jc w:val="both"/>
                    <w:rPr>
                      <w:rFonts w:hint="eastAsia" w:ascii="Arial" w:hAnsi="Arial" w:cs="Arial"/>
                      <w:strike/>
                      <w:color w:val="C00000"/>
                      <w:sz w:val="16"/>
                      <w:szCs w:val="16"/>
                      <w:highlight w:val="yellow"/>
                      <w:lang w:eastAsia="zh-CN"/>
                    </w:rPr>
                  </w:pPr>
                  <w:r>
                    <w:rPr>
                      <w:rFonts w:hint="eastAsia" w:ascii="Arial" w:hAnsi="Arial" w:cs="Arial"/>
                      <w:sz w:val="16"/>
                      <w:szCs w:val="16"/>
                      <w:lang w:eastAsia="zh-CN"/>
                    </w:rPr>
                    <w:t>24</w:t>
                  </w:r>
                </w:p>
              </w:tc>
            </w:tr>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2" w:hRule="atLeast"/>
                <w:jc w:val="center"/>
              </w:trPr>
              <w:tc>
                <w:tcPr>
                  <w:tcW w:w="2434" w:type="dxa"/>
                  <w:shd w:val="clear" w:color="auto" w:fill="auto"/>
                </w:tcPr>
                <w:p>
                  <w:pPr>
                    <w:keepNext w:val="0"/>
                    <w:keepLines w:val="0"/>
                    <w:widowControl/>
                    <w:suppressLineNumbers w:val="0"/>
                    <w:spacing w:beforeAutospacing="0" w:afterAutospacing="0"/>
                    <w:ind w:right="0"/>
                    <w:jc w:val="both"/>
                    <w:rPr>
                      <w:rFonts w:hint="eastAsia" w:ascii="Arial" w:hAnsi="Arial" w:cs="Arial"/>
                      <w:sz w:val="16"/>
                      <w:szCs w:val="16"/>
                      <w:lang w:eastAsia="zh-CN"/>
                    </w:rPr>
                  </w:pPr>
                  <w:r>
                    <w:rPr>
                      <w:rFonts w:hint="eastAsia" w:ascii="Arial" w:hAnsi="Arial" w:cs="Arial"/>
                      <w:sz w:val="16"/>
                      <w:szCs w:val="16"/>
                      <w:lang w:eastAsia="zh-CN"/>
                    </w:rPr>
                    <w:t>480</w:t>
                  </w:r>
                </w:p>
              </w:tc>
              <w:tc>
                <w:tcPr>
                  <w:tcW w:w="2710" w:type="dxa"/>
                  <w:shd w:val="clear" w:color="auto" w:fill="auto"/>
                </w:tcPr>
                <w:p>
                  <w:pPr>
                    <w:keepNext w:val="0"/>
                    <w:keepLines w:val="0"/>
                    <w:widowControl/>
                    <w:suppressLineNumbers w:val="0"/>
                    <w:spacing w:beforeAutospacing="0" w:afterAutospacing="0"/>
                    <w:ind w:right="0"/>
                    <w:jc w:val="both"/>
                    <w:rPr>
                      <w:rFonts w:hint="eastAsia" w:ascii="Arial" w:hAnsi="Arial" w:cs="Arial"/>
                      <w:strike/>
                      <w:color w:val="C00000"/>
                      <w:sz w:val="16"/>
                      <w:szCs w:val="16"/>
                      <w:highlight w:val="yellow"/>
                      <w:lang w:eastAsia="zh-CN"/>
                    </w:rPr>
                  </w:pPr>
                  <w:r>
                    <w:rPr>
                      <w:rFonts w:hint="eastAsia" w:ascii="Arial" w:hAnsi="Arial" w:cs="Arial"/>
                      <w:sz w:val="16"/>
                      <w:szCs w:val="16"/>
                      <w:lang w:eastAsia="zh-CN"/>
                    </w:rPr>
                    <w:t>96</w:t>
                  </w:r>
                </w:p>
              </w:tc>
            </w:tr>
            <w:tr>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62" w:hRule="atLeast"/>
                <w:jc w:val="center"/>
              </w:trPr>
              <w:tc>
                <w:tcPr>
                  <w:tcW w:w="2434" w:type="dxa"/>
                  <w:shd w:val="clear" w:color="auto" w:fill="auto"/>
                </w:tcPr>
                <w:p>
                  <w:pPr>
                    <w:keepNext w:val="0"/>
                    <w:keepLines w:val="0"/>
                    <w:widowControl/>
                    <w:suppressLineNumbers w:val="0"/>
                    <w:spacing w:beforeAutospacing="0" w:afterAutospacing="0"/>
                    <w:ind w:right="0"/>
                    <w:jc w:val="both"/>
                    <w:rPr>
                      <w:rFonts w:hint="eastAsia" w:ascii="Arial" w:hAnsi="Arial" w:cs="Arial"/>
                      <w:sz w:val="16"/>
                      <w:szCs w:val="16"/>
                      <w:lang w:eastAsia="zh-CN"/>
                    </w:rPr>
                  </w:pPr>
                  <w:r>
                    <w:rPr>
                      <w:rFonts w:hint="eastAsia" w:ascii="Arial" w:hAnsi="Arial" w:cs="Arial"/>
                      <w:sz w:val="16"/>
                      <w:szCs w:val="16"/>
                      <w:lang w:eastAsia="zh-CN"/>
                    </w:rPr>
                    <w:t>960</w:t>
                  </w:r>
                </w:p>
              </w:tc>
              <w:tc>
                <w:tcPr>
                  <w:tcW w:w="2710" w:type="dxa"/>
                  <w:shd w:val="clear" w:color="auto" w:fill="auto"/>
                </w:tcPr>
                <w:p>
                  <w:pPr>
                    <w:keepNext w:val="0"/>
                    <w:keepLines w:val="0"/>
                    <w:widowControl/>
                    <w:suppressLineNumbers w:val="0"/>
                    <w:spacing w:beforeAutospacing="0" w:afterAutospacing="0"/>
                    <w:ind w:right="0"/>
                    <w:jc w:val="both"/>
                    <w:rPr>
                      <w:rFonts w:hint="eastAsia" w:ascii="Arial" w:hAnsi="Arial" w:cs="Arial"/>
                      <w:strike/>
                      <w:color w:val="C00000"/>
                      <w:sz w:val="16"/>
                      <w:szCs w:val="16"/>
                      <w:highlight w:val="yellow"/>
                      <w:lang w:eastAsia="zh-CN"/>
                    </w:rPr>
                  </w:pPr>
                  <w:r>
                    <w:rPr>
                      <w:rFonts w:hint="eastAsia" w:ascii="Arial" w:hAnsi="Arial" w:cs="Arial"/>
                      <w:sz w:val="16"/>
                      <w:szCs w:val="16"/>
                      <w:lang w:eastAsia="zh-CN"/>
                    </w:rPr>
                    <w:t>192</w:t>
                  </w:r>
                </w:p>
              </w:tc>
            </w:tr>
          </w:tbl>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Malgun Gothic"/>
                <w:sz w:val="20"/>
                <w:szCs w:val="20"/>
                <w:lang w:eastAsia="ko-KR"/>
              </w:rPr>
            </w:pPr>
            <w:r>
              <w:rPr>
                <w:rFonts w:hint="eastAsia"/>
                <w:sz w:val="20"/>
                <w:szCs w:val="20"/>
                <w:lang w:eastAsia="zh-CN"/>
              </w:rPr>
              <w:t>Rel-18 UE supporting cell DTX is not required to monitor the following signals/channels from the gNB, during non-active periods of cell DTX</w:t>
            </w:r>
            <w:r>
              <w:rPr>
                <w:rFonts w:hint="eastAsia" w:eastAsia="Malgun Gothic"/>
                <w:sz w:val="20"/>
                <w:szCs w:val="20"/>
                <w:lang w:eastAsia="ko-KR"/>
              </w:rPr>
              <w:t xml:space="preserve"> </w:t>
            </w:r>
          </w:p>
          <w:p>
            <w:pPr>
              <w:keepNext w:val="0"/>
              <w:keepLines w:val="0"/>
              <w:widowControl/>
              <w:numPr>
                <w:ilvl w:val="0"/>
                <w:numId w:val="8"/>
              </w:numPr>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PDCCHs associated with DCI format 2_0 – DCI Format 2_5</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Malgun Gothic"/>
                <w:sz w:val="20"/>
                <w:szCs w:val="20"/>
                <w:u w:val="single"/>
                <w:lang w:eastAsia="ko-KR"/>
              </w:rPr>
            </w:pPr>
            <w:r>
              <w:rPr>
                <w:rFonts w:hint="eastAsia" w:ascii="Times New Roman" w:hAnsi="Times New Roman" w:eastAsia="Malgun Gothic"/>
                <w:sz w:val="20"/>
                <w:szCs w:val="20"/>
                <w:u w:val="single"/>
                <w:lang w:eastAsia="ko-KR"/>
              </w:rPr>
              <w:t>Conclusion:</w:t>
            </w:r>
          </w:p>
          <w:p>
            <w:pPr>
              <w:keepNext w:val="0"/>
              <w:keepLines w:val="0"/>
              <w:widowControl/>
              <w:numPr>
                <w:ilvl w:val="0"/>
                <w:numId w:val="9"/>
              </w:numPr>
              <w:suppressLineNumbers w:val="0"/>
              <w:suppressAutoHyphens/>
              <w:overflowPunct w:val="0"/>
              <w:autoSpaceDE w:val="0"/>
              <w:autoSpaceDN w:val="0"/>
              <w:adjustRightInd w:val="0"/>
              <w:spacing w:beforeAutospacing="0" w:afterAutospacing="0" w:line="254" w:lineRule="auto"/>
              <w:ind w:left="709" w:right="0"/>
              <w:jc w:val="both"/>
              <w:textAlignment w:val="baseline"/>
              <w:rPr>
                <w:rFonts w:hint="eastAsia" w:ascii="Times New Roman" w:hAnsi="Times New Roman" w:eastAsia="Malgun Gothic"/>
                <w:sz w:val="20"/>
                <w:szCs w:val="20"/>
                <w:lang w:eastAsia="ko-KR"/>
              </w:rPr>
            </w:pPr>
            <w:r>
              <w:rPr>
                <w:rFonts w:hint="eastAsia" w:ascii="Times New Roman" w:hAnsi="Times New Roman" w:eastAsia="Malgun Gothic"/>
                <w:sz w:val="20"/>
                <w:szCs w:val="20"/>
                <w:lang w:eastAsia="ko-KR"/>
              </w:rPr>
              <w:t>HARQ-ACK of SPS PDSCH transmitted is not impacted by non-active period of cell DRX.</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Malgun Gothic"/>
                <w:sz w:val="20"/>
                <w:szCs w:val="20"/>
                <w:lang w:eastAsia="ko-KR"/>
              </w:rPr>
            </w:pPr>
            <w:r>
              <w:rPr>
                <w:rFonts w:hint="eastAsia" w:ascii="Times New Roman" w:hAnsi="Times New Roman" w:eastAsia="Malgun Gothic"/>
                <w:sz w:val="20"/>
                <w:szCs w:val="20"/>
                <w:lang w:eastAsia="ko-KR"/>
              </w:rPr>
              <w:t>For the FFS from agreement from RAN1 #112bis</w:t>
            </w:r>
          </w:p>
          <w:p>
            <w:pPr>
              <w:pStyle w:val="23"/>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eastAsia="ko-KR"/>
              </w:rPr>
            </w:pPr>
            <w:r>
              <w:rPr>
                <w:rFonts w:hint="eastAsia"/>
                <w:sz w:val="20"/>
                <w:lang w:eastAsia="ko-KR"/>
              </w:rPr>
              <w:t>SRS for positioning is not impacted by cell DRX operation.</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Malgun Gothic"/>
                <w:sz w:val="20"/>
                <w:szCs w:val="20"/>
                <w:u w:val="single"/>
                <w:lang w:eastAsia="ko-KR"/>
              </w:rPr>
            </w:pPr>
            <w:r>
              <w:rPr>
                <w:rFonts w:hint="eastAsia" w:ascii="Times New Roman" w:hAnsi="Times New Roman" w:eastAsia="Malgun Gothic"/>
                <w:sz w:val="20"/>
                <w:szCs w:val="20"/>
                <w:u w:val="single"/>
                <w:lang w:eastAsia="ko-KR"/>
              </w:rPr>
              <w:t>Conclusion</w:t>
            </w:r>
          </w:p>
          <w:p>
            <w:pPr>
              <w:keepNext w:val="0"/>
              <w:keepLines w:val="0"/>
              <w:widowControl/>
              <w:numPr>
                <w:ilvl w:val="0"/>
                <w:numId w:val="10"/>
              </w:numPr>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eastAsia="Malgun Gothic"/>
                <w:sz w:val="20"/>
                <w:szCs w:val="20"/>
                <w:lang w:eastAsia="ko-KR"/>
              </w:rPr>
            </w:pPr>
            <w:r>
              <w:rPr>
                <w:rFonts w:hint="eastAsia" w:ascii="Times New Roman" w:hAnsi="Times New Roman" w:eastAsia="Malgun Gothic"/>
                <w:sz w:val="20"/>
                <w:szCs w:val="20"/>
                <w:lang w:eastAsia="ko-KR"/>
              </w:rPr>
              <w:t>The following channels are not impacted by non-active period of cell DRX</w:t>
            </w:r>
          </w:p>
          <w:p>
            <w:pPr>
              <w:keepNext w:val="0"/>
              <w:keepLines w:val="0"/>
              <w:widowControl/>
              <w:numPr>
                <w:ilvl w:val="1"/>
                <w:numId w:val="10"/>
              </w:numPr>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eastAsia="Malgun Gothic"/>
                <w:sz w:val="20"/>
                <w:szCs w:val="20"/>
                <w:lang w:eastAsia="ko-KR"/>
              </w:rPr>
            </w:pPr>
            <w:r>
              <w:rPr>
                <w:rFonts w:hint="eastAsia" w:ascii="Times New Roman" w:hAnsi="Times New Roman" w:eastAsia="Malgun Gothic"/>
                <w:sz w:val="20"/>
                <w:szCs w:val="20"/>
                <w:lang w:eastAsia="ko-KR"/>
              </w:rPr>
              <w:t>HARQ-ACK of a DCI format without scheduling a PDSCH</w:t>
            </w:r>
          </w:p>
          <w:p>
            <w:pPr>
              <w:keepNext w:val="0"/>
              <w:keepLines w:val="0"/>
              <w:widowControl/>
              <w:suppressLineNumbers w:val="0"/>
              <w:overflowPunct w:val="0"/>
              <w:autoSpaceDE w:val="0"/>
              <w:autoSpaceDN w:val="0"/>
              <w:adjustRightInd w:val="0"/>
              <w:spacing w:before="0" w:beforeAutospacing="0" w:after="0" w:afterAutospacing="0" w:line="360" w:lineRule="auto"/>
              <w:ind w:right="0"/>
              <w:jc w:val="both"/>
              <w:textAlignment w:val="baseline"/>
              <w:rPr>
                <w:rFonts w:hint="eastAsia" w:ascii="Times New Roman" w:hAnsi="Times New Roman" w:cs="Times New Roman"/>
                <w:sz w:val="20"/>
                <w:szCs w:val="20"/>
                <w:vertAlign w:val="baseline"/>
                <w:lang w:val="en-US" w:eastAsia="zh-CN"/>
              </w:rPr>
            </w:pPr>
          </w:p>
        </w:tc>
      </w:tr>
    </w:tbl>
    <w:p>
      <w:pPr>
        <w:spacing w:before="0" w:beforeLines="0" w:after="0" w:afterLines="50" w:line="360" w:lineRule="auto"/>
        <w:jc w:val="both"/>
        <w:rPr>
          <w:rFonts w:hint="eastAsia" w:ascii="Times New Roman" w:hAnsi="Times New Roman" w:cs="Times New Roman"/>
          <w:sz w:val="20"/>
          <w:szCs w:val="20"/>
          <w:lang w:val="en-US" w:eastAsia="zh-CN"/>
        </w:rPr>
      </w:pPr>
      <w:r>
        <w:rPr>
          <w:rFonts w:hint="eastAsia" w:cs="Times New Roman"/>
          <w:sz w:val="20"/>
          <w:szCs w:val="20"/>
          <w:lang w:val="en-US" w:eastAsia="zh-CN"/>
        </w:rPr>
        <w:t>I</w:t>
      </w:r>
      <w:r>
        <w:rPr>
          <w:rFonts w:hint="eastAsia" w:ascii="Times New Roman" w:hAnsi="Times New Roman" w:cs="Times New Roman"/>
          <w:sz w:val="20"/>
          <w:szCs w:val="20"/>
          <w:lang w:val="en-US" w:eastAsia="zh-CN"/>
        </w:rPr>
        <w:t xml:space="preserve">n this contribution, </w:t>
      </w:r>
      <w:r>
        <w:rPr>
          <w:rFonts w:hint="eastAsia" w:cs="Times New Roman"/>
          <w:sz w:val="20"/>
          <w:szCs w:val="20"/>
          <w:lang w:val="en-US" w:eastAsia="zh-CN"/>
        </w:rPr>
        <w:t>the remaining issues</w:t>
      </w:r>
      <w:r>
        <w:rPr>
          <w:rFonts w:hint="eastAsia" w:ascii="Times New Roman" w:hAnsi="Times New Roman" w:cs="Times New Roman"/>
          <w:sz w:val="20"/>
          <w:szCs w:val="20"/>
          <w:lang w:val="en-US" w:eastAsia="zh-CN"/>
        </w:rPr>
        <w:t xml:space="preserve"> on cell DTX/DRX mechanism</w:t>
      </w:r>
      <w:r>
        <w:rPr>
          <w:rFonts w:hint="eastAsia" w:cs="Times New Roman"/>
          <w:sz w:val="20"/>
          <w:szCs w:val="20"/>
          <w:lang w:val="en-US" w:eastAsia="zh-CN"/>
        </w:rPr>
        <w:t xml:space="preserve"> will continue to be</w:t>
      </w:r>
      <w:r>
        <w:rPr>
          <w:rFonts w:hint="eastAsia"/>
          <w:sz w:val="20"/>
          <w:szCs w:val="20"/>
          <w:lang w:val="en-US" w:eastAsia="zh-CN" w:bidi="ar"/>
        </w:rPr>
        <w:t xml:space="preserve"> discussed</w:t>
      </w:r>
      <w:r>
        <w:rPr>
          <w:rFonts w:hint="eastAsia" w:ascii="Times New Roman" w:hAnsi="Times New Roman" w:cs="Times New Roman"/>
          <w:sz w:val="20"/>
          <w:szCs w:val="20"/>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Enhancement on cell DTX/DRX mechanism</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Signals/Channels impacted by cell DTX/DRX</w:t>
      </w:r>
    </w:p>
    <w:p>
      <w:pPr>
        <w:spacing w:before="0" w:beforeLines="0" w:after="0" w:afterLines="50" w:line="360" w:lineRule="auto"/>
        <w:jc w:val="both"/>
        <w:rPr>
          <w:rFonts w:hint="eastAsia"/>
          <w:lang w:val="en-US" w:eastAsia="zh-CN"/>
        </w:rPr>
      </w:pPr>
      <w:r>
        <w:rPr>
          <w:rFonts w:hint="eastAsia"/>
          <w:lang w:val="en-US" w:eastAsia="zh-CN"/>
        </w:rPr>
        <w:t xml:space="preserve">According to WID [2] in RAN#99 meeting, the impact of cell DTX/DRX enhancement on RRC IDLE/INACTIVE should be avoided, so the enhancements on cell DTX/DRX </w:t>
      </w:r>
      <w:r>
        <w:rPr>
          <w:rFonts w:hint="eastAsia" w:ascii="Times New Roman" w:hAnsi="Times New Roman" w:cs="Times New Roman"/>
          <w:sz w:val="20"/>
          <w:szCs w:val="20"/>
          <w:lang w:val="en-US" w:eastAsia="zh-CN"/>
        </w:rPr>
        <w:t>mechanism</w:t>
      </w:r>
      <w:r>
        <w:rPr>
          <w:rFonts w:hint="eastAsia" w:cs="Times New Roman"/>
          <w:sz w:val="20"/>
          <w:szCs w:val="20"/>
          <w:lang w:val="en-US" w:eastAsia="zh-CN"/>
        </w:rPr>
        <w:t xml:space="preserve"> </w:t>
      </w:r>
      <w:r>
        <w:rPr>
          <w:rFonts w:hint="eastAsia"/>
          <w:lang w:val="en-US" w:eastAsia="zh-CN"/>
        </w:rPr>
        <w:t>can first focus on RRC CONNECTED. However, for RRC_CONNECTED, the current specification only defines a UE C-DRX mechanism which meets the UE dynamic scheduling requirements and UE power saving, but does not define the cell DTX/DRX mechanism that meets network energy saving requirements. Therefore, it is necessary to specify a cell DTX/DRX mechanism in the RRC CONNECTED state.</w:t>
      </w:r>
    </w:p>
    <w:p>
      <w:pPr>
        <w:spacing w:before="0" w:beforeLines="0" w:after="0" w:afterLines="50" w:line="360" w:lineRule="auto"/>
        <w:jc w:val="both"/>
        <w:rPr>
          <w:rFonts w:hint="eastAsia"/>
          <w:lang w:val="en-US" w:eastAsia="zh-CN"/>
        </w:rPr>
      </w:pPr>
      <w:r>
        <w:rPr>
          <w:rFonts w:hint="eastAsia"/>
          <w:lang w:val="en-US" w:eastAsia="zh-CN"/>
        </w:rPr>
        <w:t>As discussed in previous meeting, before determining the cell DTX/DRX mechanism, we should first identify the signals/channels which may be expected to not transmit or receive during non-active periods of cell DTX/DRX. Regarding the behavior of common PDCCH during non-active periods of cell DTX, RAN1[1] has reached the following agreements.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Malgun Gothic"/>
                <w:sz w:val="20"/>
                <w:szCs w:val="20"/>
                <w:lang w:eastAsia="ko-KR"/>
              </w:rPr>
            </w:pPr>
            <w:r>
              <w:rPr>
                <w:rFonts w:hint="eastAsia"/>
                <w:sz w:val="20"/>
                <w:szCs w:val="20"/>
                <w:lang w:eastAsia="zh-CN"/>
              </w:rPr>
              <w:t>Rel-18 UE supporting cell DTX is not required to monitor the following signals/channels from the gNB, during non-active periods of cell DTX</w:t>
            </w:r>
            <w:r>
              <w:rPr>
                <w:rFonts w:hint="eastAsia" w:eastAsia="Malgun Gothic"/>
                <w:sz w:val="20"/>
                <w:szCs w:val="20"/>
                <w:lang w:eastAsia="ko-KR"/>
              </w:rPr>
              <w:t xml:space="preserve"> </w:t>
            </w:r>
          </w:p>
          <w:p>
            <w:pPr>
              <w:keepNext w:val="0"/>
              <w:keepLines w:val="0"/>
              <w:widowControl/>
              <w:numPr>
                <w:ilvl w:val="0"/>
                <w:numId w:val="8"/>
              </w:numPr>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PDCCHs associated with DCI format 2_0 – DCI Format 2_5</w:t>
            </w:r>
          </w:p>
          <w:p>
            <w:pPr>
              <w:keepNext w:val="0"/>
              <w:keepLines w:val="0"/>
              <w:widowControl/>
              <w:suppressLineNumbers w:val="0"/>
              <w:overflowPunct w:val="0"/>
              <w:autoSpaceDE w:val="0"/>
              <w:autoSpaceDN w:val="0"/>
              <w:adjustRightInd w:val="0"/>
              <w:spacing w:before="60" w:beforeLines="0" w:beforeAutospacing="0" w:after="60" w:afterLines="0" w:afterAutospacing="0" w:line="360" w:lineRule="auto"/>
              <w:ind w:right="0"/>
              <w:jc w:val="both"/>
              <w:textAlignment w:val="baseline"/>
              <w:rPr>
                <w:rFonts w:hint="default"/>
                <w:sz w:val="20"/>
                <w:szCs w:val="20"/>
                <w:vertAlign w:val="baseline"/>
                <w:lang w:val="en-US" w:eastAsia="zh-CN"/>
              </w:rPr>
            </w:pPr>
          </w:p>
        </w:tc>
      </w:tr>
    </w:tbl>
    <w:p>
      <w:pPr>
        <w:snapToGrid/>
        <w:spacing w:before="0" w:beforeLines="0" w:after="0" w:afterLines="50" w:line="360" w:lineRule="auto"/>
        <w:jc w:val="both"/>
        <w:rPr>
          <w:rFonts w:hint="eastAsia" w:cs="Times New Roman"/>
          <w:bCs w:val="0"/>
          <w:i w:val="0"/>
          <w:iCs w:val="0"/>
          <w:caps w:val="0"/>
          <w:spacing w:val="0"/>
          <w:sz w:val="20"/>
          <w:szCs w:val="20"/>
          <w:shd w:val="clear"/>
          <w:lang w:val="en-US" w:eastAsia="zh-CN"/>
        </w:rPr>
      </w:pPr>
      <w:r>
        <w:rPr>
          <w:rFonts w:hint="eastAsia" w:cs="Times New Roman"/>
          <w:bCs w:val="0"/>
          <w:i w:val="0"/>
          <w:iCs w:val="0"/>
          <w:caps w:val="0"/>
          <w:spacing w:val="0"/>
          <w:sz w:val="20"/>
          <w:szCs w:val="20"/>
          <w:shd w:val="clear"/>
          <w:lang w:val="en-US" w:eastAsia="zh-CN"/>
        </w:rPr>
        <w:t>In addition to the behaviors of DCI format 2_0-DCI format 2_5 during the non-active period of cell DTX that need to be specified, the behaviors of DCI format 2_6 and DCI format 2_7 during the non-active period of cell DTX also need to be specified.</w:t>
      </w:r>
    </w:p>
    <w:p>
      <w:pPr>
        <w:snapToGrid/>
        <w:spacing w:before="0" w:beforeLines="0" w:after="0" w:afterLines="50" w:line="360" w:lineRule="auto"/>
        <w:jc w:val="both"/>
        <w:rPr>
          <w:rFonts w:hint="eastAsia" w:cs="Times New Roman"/>
          <w:bCs w:val="0"/>
          <w:i w:val="0"/>
          <w:iCs w:val="0"/>
          <w:caps w:val="0"/>
          <w:spacing w:val="0"/>
          <w:sz w:val="20"/>
          <w:szCs w:val="20"/>
          <w:shd w:val="clear"/>
          <w:lang w:val="en-US" w:eastAsia="zh-CN"/>
        </w:rPr>
      </w:pPr>
      <w:r>
        <w:rPr>
          <w:rFonts w:hint="eastAsia" w:cs="Times New Roman"/>
          <w:bCs w:val="0"/>
          <w:i w:val="0"/>
          <w:iCs w:val="0"/>
          <w:caps w:val="0"/>
          <w:spacing w:val="0"/>
          <w:sz w:val="20"/>
          <w:szCs w:val="20"/>
          <w:shd w:val="clear"/>
          <w:lang w:val="en-US" w:eastAsia="zh-CN"/>
        </w:rPr>
        <w:t xml:space="preserve">First, for the DCI format 2_6, it is mainly used to indicate whether to monitor the UE C-DRX. Therefore, if the DCI format 2_6 falls within the non-active time of the cell DTX and is not monitored, the UE will frequently monitor the UE C-DRX according to the legacy C-DRX configuration, which is very unfavorable for UE power saving. Therefore, it is recommended that DCI format 2_6 falls within the activation time of the cell DTX. </w:t>
      </w:r>
    </w:p>
    <w:p>
      <w:pPr>
        <w:snapToGrid/>
        <w:spacing w:before="0" w:beforeLines="0" w:after="0" w:afterLines="50" w:line="360" w:lineRule="auto"/>
        <w:jc w:val="both"/>
        <w:rPr>
          <w:rFonts w:hint="eastAsia" w:cs="Times New Roman"/>
          <w:bCs w:val="0"/>
          <w:i w:val="0"/>
          <w:iCs w:val="0"/>
          <w:caps w:val="0"/>
          <w:spacing w:val="0"/>
          <w:sz w:val="20"/>
          <w:szCs w:val="20"/>
          <w:shd w:val="clear"/>
          <w:lang w:val="en-US" w:eastAsia="zh-CN"/>
        </w:rPr>
      </w:pPr>
      <w:r>
        <w:rPr>
          <w:rFonts w:hint="eastAsia" w:cs="Times New Roman"/>
          <w:bCs w:val="0"/>
          <w:i w:val="0"/>
          <w:iCs w:val="0"/>
          <w:caps w:val="0"/>
          <w:spacing w:val="0"/>
          <w:sz w:val="20"/>
          <w:szCs w:val="20"/>
          <w:shd w:val="clear"/>
          <w:lang w:val="en-US" w:eastAsia="zh-CN"/>
        </w:rPr>
        <w:t>Second, for DCI format 2_7, it is mainly used to indicate whether to monitor the paging in RRC idle and RRC inactive states. And according to the discussion of RAN2, cell DTX/DRX has no impact on RRC idle and RRC inactive states. Therefore, cell DTX should not affect the monitoring behavior of DCI format 2_7. Similarly, it can be suggested that DCI format 2_7 falls within the cell DTX activation time.</w:t>
      </w:r>
    </w:p>
    <w:p>
      <w:pPr>
        <w:spacing w:before="0" w:beforeLines="0" w:after="0" w:afterLines="50" w:line="360" w:lineRule="auto"/>
        <w:jc w:val="both"/>
        <w:rPr>
          <w:rFonts w:hint="default"/>
          <w:b w:val="0"/>
          <w:sz w:val="20"/>
          <w:szCs w:val="20"/>
          <w:lang w:val="en-US" w:eastAsia="zh-CN"/>
        </w:rPr>
      </w:pPr>
      <w:r>
        <w:rPr>
          <w:rFonts w:hint="eastAsia"/>
          <w:b w:val="0"/>
          <w:sz w:val="20"/>
          <w:szCs w:val="20"/>
          <w:lang w:val="en-US" w:eastAsia="zh-CN"/>
        </w:rPr>
        <w:t>To sum up, DCI format 2_6 or DCI format 2_7 should not be affected during non-active periods of cell DTX/DRX.</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w:t>
      </w:r>
      <w:r>
        <w:rPr>
          <w:rFonts w:hint="eastAsia"/>
          <w:b/>
          <w:sz w:val="21"/>
          <w:szCs w:val="21"/>
          <w:lang w:val="en-US" w:eastAsia="zh-CN"/>
        </w:rPr>
        <w:t xml:space="preserve"> </w:t>
      </w:r>
      <w:r>
        <w:rPr>
          <w:rFonts w:hint="default" w:cs="Times New Roman"/>
          <w:b/>
          <w:bCs w:val="0"/>
          <w:i w:val="0"/>
          <w:iCs w:val="0"/>
          <w:caps w:val="0"/>
          <w:spacing w:val="0"/>
          <w:sz w:val="21"/>
          <w:szCs w:val="21"/>
          <w:shd w:val="clear"/>
          <w:lang w:val="en-US" w:eastAsia="zh-CN"/>
        </w:rPr>
        <w:t>DCI format 2_6 or DCI format 2_7 should not be affected</w:t>
      </w:r>
      <w:r>
        <w:rPr>
          <w:rFonts w:hint="default"/>
          <w:b/>
          <w:sz w:val="21"/>
          <w:szCs w:val="21"/>
          <w:lang w:val="en-US" w:eastAsia="zh-CN"/>
        </w:rPr>
        <w:t xml:space="preserve"> during non-active periods of cell DTX/DRX.</w:t>
      </w:r>
    </w:p>
    <w:p>
      <w:pPr>
        <w:pStyle w:val="3"/>
        <w:pBdr>
          <w:top w:val="none" w:color="auto" w:sz="0" w:space="0"/>
        </w:pBdr>
        <w:spacing w:before="240" w:beforeLines="-2147483648" w:after="180" w:afterLines="-2147483648" w:line="240" w:lineRule="auto"/>
        <w:ind w:left="573" w:hanging="573"/>
        <w:rPr>
          <w:rFonts w:hint="default"/>
          <w:b w:val="0"/>
          <w:bCs w:val="0"/>
          <w:sz w:val="32"/>
          <w:szCs w:val="32"/>
          <w:lang w:val="en-US" w:eastAsia="zh-CN"/>
        </w:rPr>
      </w:pPr>
      <w:r>
        <w:rPr>
          <w:rFonts w:hint="eastAsia" w:cs="Times New Roman"/>
          <w:b w:val="0"/>
          <w:bCs w:val="0"/>
          <w:i w:val="0"/>
          <w:iCs w:val="0"/>
          <w:caps w:val="0"/>
          <w:spacing w:val="0"/>
          <w:sz w:val="32"/>
          <w:szCs w:val="32"/>
          <w:shd w:val="clear"/>
          <w:lang w:val="en-US" w:eastAsia="zh-CN"/>
        </w:rPr>
        <w:t>C</w:t>
      </w:r>
      <w:r>
        <w:rPr>
          <w:rFonts w:hint="default" w:ascii="Arial" w:hAnsi="Arial" w:eastAsia="黑体" w:cs="Times New Roman"/>
          <w:b w:val="0"/>
          <w:bCs w:val="0"/>
          <w:i w:val="0"/>
          <w:iCs w:val="0"/>
          <w:caps w:val="0"/>
          <w:spacing w:val="0"/>
          <w:sz w:val="32"/>
          <w:szCs w:val="32"/>
          <w:shd w:val="clear"/>
          <w:lang w:val="en-US" w:eastAsia="zh-CN"/>
        </w:rPr>
        <w:t xml:space="preserve">onfiguration of </w:t>
      </w:r>
      <w:r>
        <w:rPr>
          <w:rFonts w:hint="default" w:cs="Times New Roman"/>
          <w:b w:val="0"/>
          <w:bCs w:val="0"/>
          <w:i w:val="0"/>
          <w:iCs w:val="0"/>
          <w:caps w:val="0"/>
          <w:spacing w:val="0"/>
          <w:sz w:val="32"/>
          <w:szCs w:val="32"/>
          <w:shd w:val="clear"/>
          <w:lang w:val="en-US" w:eastAsia="zh-CN"/>
        </w:rPr>
        <w:t xml:space="preserve">cell </w:t>
      </w:r>
      <w:r>
        <w:rPr>
          <w:rFonts w:hint="default" w:ascii="Arial" w:hAnsi="Arial" w:eastAsia="黑体" w:cs="Times New Roman"/>
          <w:b w:val="0"/>
          <w:bCs w:val="0"/>
          <w:i w:val="0"/>
          <w:iCs w:val="0"/>
          <w:caps w:val="0"/>
          <w:spacing w:val="0"/>
          <w:sz w:val="32"/>
          <w:szCs w:val="32"/>
          <w:shd w:val="clear"/>
          <w:lang w:val="en-US" w:eastAsia="zh-CN"/>
        </w:rPr>
        <w:t>DTX/DRX</w:t>
      </w:r>
      <w:r>
        <w:rPr>
          <w:rFonts w:hint="default" w:cs="Times New Roman"/>
          <w:b w:val="0"/>
          <w:bCs w:val="0"/>
          <w:i w:val="0"/>
          <w:iCs w:val="0"/>
          <w:caps w:val="0"/>
          <w:spacing w:val="0"/>
          <w:sz w:val="32"/>
          <w:szCs w:val="32"/>
          <w:shd w:val="clear"/>
          <w:lang w:val="en-US" w:eastAsia="zh-CN"/>
        </w:rPr>
        <w:t>.</w:t>
      </w:r>
    </w:p>
    <w:p>
      <w:pPr>
        <w:spacing w:before="0" w:beforeLines="0" w:after="0" w:afterLines="50" w:line="360" w:lineRule="auto"/>
        <w:jc w:val="both"/>
        <w:rPr>
          <w:rFonts w:hint="eastAsia" w:ascii="Times New Roman" w:hAnsi="Times New Roman" w:eastAsia="宋体" w:cs="Times New Roman"/>
          <w:bCs w:val="0"/>
          <w:i w:val="0"/>
          <w:iCs w:val="0"/>
          <w:caps w:val="0"/>
          <w:spacing w:val="0"/>
          <w:sz w:val="20"/>
          <w:szCs w:val="20"/>
          <w:shd w:val="clear"/>
          <w:lang w:val="en-US" w:eastAsia="zh-CN"/>
        </w:rPr>
      </w:pPr>
      <w:r>
        <w:rPr>
          <w:rFonts w:hint="eastAsia" w:ascii="Times New Roman" w:hAnsi="Times New Roman" w:eastAsia="宋体" w:cs="Times New Roman"/>
          <w:bCs w:val="0"/>
          <w:i w:val="0"/>
          <w:iCs w:val="0"/>
          <w:caps w:val="0"/>
          <w:spacing w:val="0"/>
          <w:sz w:val="20"/>
          <w:szCs w:val="20"/>
          <w:shd w:val="clear"/>
          <w:lang w:val="en-US" w:eastAsia="zh-CN"/>
        </w:rPr>
        <w:t xml:space="preserve">After analyzing which signals/channels may not be expected to be transmitted or received during </w:t>
      </w:r>
      <w:r>
        <w:rPr>
          <w:rFonts w:hint="eastAsia" w:cs="Times New Roman"/>
          <w:bCs w:val="0"/>
          <w:i w:val="0"/>
          <w:iCs w:val="0"/>
          <w:caps w:val="0"/>
          <w:spacing w:val="0"/>
          <w:sz w:val="20"/>
          <w:szCs w:val="20"/>
          <w:shd w:val="clear"/>
          <w:lang w:val="en-US" w:eastAsia="zh-CN"/>
        </w:rPr>
        <w:t xml:space="preserve">non-active period of cell </w:t>
      </w:r>
      <w:r>
        <w:rPr>
          <w:rFonts w:hint="eastAsia" w:ascii="Times New Roman" w:hAnsi="Times New Roman" w:eastAsia="宋体" w:cs="Times New Roman"/>
          <w:bCs w:val="0"/>
          <w:i w:val="0"/>
          <w:iCs w:val="0"/>
          <w:caps w:val="0"/>
          <w:spacing w:val="0"/>
          <w:sz w:val="20"/>
          <w:szCs w:val="20"/>
          <w:shd w:val="clear"/>
          <w:lang w:val="en-US" w:eastAsia="zh-CN"/>
        </w:rPr>
        <w:t xml:space="preserve">DTX/DRX, the second thing to focus on is the configuration of </w:t>
      </w:r>
      <w:r>
        <w:rPr>
          <w:rFonts w:hint="eastAsia" w:cs="Times New Roman"/>
          <w:bCs w:val="0"/>
          <w:i w:val="0"/>
          <w:iCs w:val="0"/>
          <w:caps w:val="0"/>
          <w:spacing w:val="0"/>
          <w:sz w:val="20"/>
          <w:szCs w:val="20"/>
          <w:shd w:val="clear"/>
          <w:lang w:val="en-US" w:eastAsia="zh-CN"/>
        </w:rPr>
        <w:t xml:space="preserve">cell </w:t>
      </w:r>
      <w:r>
        <w:rPr>
          <w:rFonts w:hint="eastAsia" w:ascii="Times New Roman" w:hAnsi="Times New Roman" w:eastAsia="宋体" w:cs="Times New Roman"/>
          <w:bCs w:val="0"/>
          <w:i w:val="0"/>
          <w:iCs w:val="0"/>
          <w:caps w:val="0"/>
          <w:spacing w:val="0"/>
          <w:sz w:val="20"/>
          <w:szCs w:val="20"/>
          <w:shd w:val="clear"/>
          <w:lang w:val="en-US" w:eastAsia="zh-CN"/>
        </w:rPr>
        <w:t>DTX/DRX</w:t>
      </w:r>
      <w:r>
        <w:rPr>
          <w:rFonts w:hint="eastAsia" w:cs="Times New Roman"/>
          <w:bCs w:val="0"/>
          <w:i w:val="0"/>
          <w:iCs w:val="0"/>
          <w:caps w:val="0"/>
          <w:spacing w:val="0"/>
          <w:sz w:val="20"/>
          <w:szCs w:val="20"/>
          <w:shd w:val="clear"/>
          <w:lang w:val="en-US" w:eastAsia="zh-CN"/>
        </w:rPr>
        <w:t>.</w:t>
      </w:r>
    </w:p>
    <w:p>
      <w:pPr>
        <w:snapToGrid/>
        <w:spacing w:before="0" w:beforeLines="0" w:after="0" w:afterLines="50" w:line="360" w:lineRule="auto"/>
        <w:jc w:val="both"/>
        <w:rPr>
          <w:rFonts w:hint="eastAsia"/>
          <w:bCs w:val="0"/>
          <w:lang w:val="en-US" w:eastAsia="zh-CN"/>
        </w:rPr>
      </w:pPr>
      <w:r>
        <w:rPr>
          <w:rFonts w:hint="eastAsia"/>
          <w:bCs w:val="0"/>
          <w:lang w:val="en-US" w:eastAsia="zh-CN"/>
        </w:rPr>
        <w:t>First, according to the agreement in the previous meeting, separate DTX and DRX configurations should be supported. From our point of view, if separate DTX and DRX configurations are used, during the inactive time of the cell DTX, the gNB can stop the signal/channel transmission, but can still perform the signal/channel reception; while during the inactive time of the cell DRX, the gNB can stop the signal/channel reception, but channel/signal transmission can still be done. All in all, separate DTX and DRX configurations bring more flexibility for gNB reception and transmission. However, in order to better realize network energy saving, we still need to make some constraints on the activation time of cell DTX and cell DRX, for example, the activation time of cell DTX is a subset of the activation time of cell DRX. In this way, the inactive time of DTX and the inactive time of DRX will overlap to a large extent, so that a large period of inactive time can be reserved for gNB to enter the sleep mode.</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S</w:t>
      </w:r>
      <w:r>
        <w:rPr>
          <w:rFonts w:hint="default"/>
          <w:b/>
          <w:sz w:val="21"/>
          <w:szCs w:val="21"/>
          <w:lang w:val="en-US" w:eastAsia="zh-CN"/>
        </w:rPr>
        <w:t>ome constraints</w:t>
      </w:r>
      <w:r>
        <w:rPr>
          <w:rFonts w:hint="eastAsia"/>
          <w:b/>
          <w:sz w:val="21"/>
          <w:szCs w:val="21"/>
          <w:lang w:val="en-US" w:eastAsia="zh-CN"/>
        </w:rPr>
        <w:t xml:space="preserve"> on </w:t>
      </w:r>
      <w:r>
        <w:rPr>
          <w:rFonts w:hint="default"/>
          <w:b/>
          <w:bCs w:val="0"/>
          <w:sz w:val="21"/>
          <w:szCs w:val="21"/>
          <w:lang w:val="en-US" w:eastAsia="zh-CN"/>
        </w:rPr>
        <w:t>active/non-active time between cell DTX and cell DRX</w:t>
      </w:r>
      <w:r>
        <w:rPr>
          <w:rFonts w:hint="eastAsia"/>
          <w:b/>
          <w:sz w:val="21"/>
          <w:szCs w:val="21"/>
          <w:lang w:val="en-US" w:eastAsia="zh-CN"/>
        </w:rPr>
        <w:t xml:space="preserve"> should be discussed</w:t>
      </w:r>
      <w:r>
        <w:rPr>
          <w:rFonts w:hint="default"/>
          <w:b/>
          <w:sz w:val="21"/>
          <w:szCs w:val="21"/>
          <w:lang w:val="en-US" w:eastAsia="zh-CN"/>
        </w:rPr>
        <w:t>.</w:t>
      </w:r>
    </w:p>
    <w:p>
      <w:pPr>
        <w:spacing w:before="0" w:beforeLines="0" w:after="0" w:afterLines="50" w:line="360" w:lineRule="auto"/>
        <w:jc w:val="both"/>
        <w:rPr>
          <w:rFonts w:hint="default"/>
          <w:lang w:val="en-US" w:eastAsia="zh-CN"/>
        </w:rPr>
      </w:pPr>
      <w:r>
        <w:rPr>
          <w:rFonts w:hint="eastAsia"/>
          <w:lang w:val="en-US" w:eastAsia="zh-CN"/>
        </w:rPr>
        <w:t>Second, according to TR 38.864[2], the power consumption model of gNB has multiple power states, and each power state has its own sleep time requirements, so different power states can be configured for different cell DTX/DRX configurations. At the same time, configuring different cell DTX/DRX configurations for different power states can also increase the flexibility of scheduling. Therefore, configuring different cell DTX/DRX configurations for different power states should be supported.</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Configuring different cell DTX/DRX configurations for different power states should be supported.</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beforeLines="0" w:after="6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t>
      </w:r>
      <w:r>
        <w:rPr>
          <w:rFonts w:hint="eastAsia"/>
          <w:sz w:val="20"/>
          <w:szCs w:val="20"/>
          <w:lang w:val="en-US" w:eastAsia="zh-CN"/>
        </w:rPr>
        <w:t>remaining issues o</w:t>
      </w:r>
      <w:r>
        <w:rPr>
          <w:rFonts w:hint="eastAsia" w:eastAsia="宋体"/>
          <w:sz w:val="20"/>
          <w:szCs w:val="20"/>
          <w:lang w:val="en-US" w:eastAsia="zh-CN"/>
        </w:rPr>
        <w:t xml:space="preserve">n </w:t>
      </w:r>
      <w:r>
        <w:rPr>
          <w:rFonts w:hint="eastAsia"/>
          <w:sz w:val="20"/>
          <w:szCs w:val="20"/>
          <w:lang w:val="en-US" w:eastAsia="zh-CN"/>
        </w:rPr>
        <w:t>cell DTX/DRX</w:t>
      </w:r>
      <w:r>
        <w:rPr>
          <w:rFonts w:hint="eastAsia"/>
          <w:sz w:val="20"/>
          <w:szCs w:val="20"/>
          <w:lang w:val="en-US" w:eastAsia="zh-CN" w:bidi="ar"/>
        </w:rPr>
        <w:t xml:space="preserve"> </w:t>
      </w:r>
      <w:r>
        <w:rPr>
          <w:rFonts w:hint="eastAsia" w:ascii="Times New Roman" w:hAnsi="Times New Roman" w:cs="Times New Roman"/>
          <w:sz w:val="20"/>
          <w:szCs w:val="20"/>
          <w:lang w:val="en-US" w:eastAsia="zh-CN"/>
        </w:rPr>
        <w:t>are discussed, and the following proposals are made.</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w:t>
      </w:r>
      <w:r>
        <w:rPr>
          <w:rFonts w:hint="eastAsia"/>
          <w:b/>
          <w:sz w:val="21"/>
          <w:szCs w:val="21"/>
          <w:lang w:val="en-US" w:eastAsia="zh-CN"/>
        </w:rPr>
        <w:t xml:space="preserve"> </w:t>
      </w:r>
      <w:r>
        <w:rPr>
          <w:rFonts w:hint="default" w:cs="Times New Roman"/>
          <w:b/>
          <w:bCs w:val="0"/>
          <w:i w:val="0"/>
          <w:iCs w:val="0"/>
          <w:caps w:val="0"/>
          <w:spacing w:val="0"/>
          <w:sz w:val="21"/>
          <w:szCs w:val="21"/>
          <w:shd w:val="clear"/>
          <w:lang w:val="en-US" w:eastAsia="zh-CN"/>
        </w:rPr>
        <w:t>DCI format 2_6 or DCI format 2_7 should not be affected</w:t>
      </w:r>
      <w:r>
        <w:rPr>
          <w:rFonts w:hint="default"/>
          <w:b/>
          <w:sz w:val="21"/>
          <w:szCs w:val="21"/>
          <w:lang w:val="en-US" w:eastAsia="zh-CN"/>
        </w:rPr>
        <w:t xml:space="preserve"> during non-active periods of cell DTX/DRX.</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S</w:t>
      </w:r>
      <w:r>
        <w:rPr>
          <w:rFonts w:hint="default"/>
          <w:b/>
          <w:sz w:val="21"/>
          <w:szCs w:val="21"/>
          <w:lang w:val="en-US" w:eastAsia="zh-CN"/>
        </w:rPr>
        <w:t>ome constraints</w:t>
      </w:r>
      <w:r>
        <w:rPr>
          <w:rFonts w:hint="eastAsia"/>
          <w:b/>
          <w:sz w:val="21"/>
          <w:szCs w:val="21"/>
          <w:lang w:val="en-US" w:eastAsia="zh-CN"/>
        </w:rPr>
        <w:t xml:space="preserve"> on </w:t>
      </w:r>
      <w:r>
        <w:rPr>
          <w:rFonts w:hint="default"/>
          <w:b/>
          <w:bCs w:val="0"/>
          <w:sz w:val="21"/>
          <w:szCs w:val="21"/>
          <w:lang w:val="en-US" w:eastAsia="zh-CN"/>
        </w:rPr>
        <w:t>active/non-active time between cell DTX and cell DRX</w:t>
      </w:r>
      <w:r>
        <w:rPr>
          <w:rFonts w:hint="eastAsia"/>
          <w:b/>
          <w:sz w:val="21"/>
          <w:szCs w:val="21"/>
          <w:lang w:val="en-US" w:eastAsia="zh-CN"/>
        </w:rPr>
        <w:t xml:space="preserve"> should be discussed</w:t>
      </w:r>
      <w:r>
        <w:rPr>
          <w:rFonts w:hint="default"/>
          <w:b/>
          <w:sz w:val="21"/>
          <w:szCs w:val="21"/>
          <w:lang w:val="en-US" w:eastAsia="zh-CN"/>
        </w:rPr>
        <w:t>.</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Configuring different cell DTX/DRX configurations for different power states should be supported.</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11"/>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#114 v0.1.0” , RAN1#11</w:t>
      </w:r>
      <w:r>
        <w:rPr>
          <w:rFonts w:hint="eastAsia" w:ascii="Times New Roman" w:hAnsi="Times New Roman" w:eastAsia="宋体"/>
          <w:sz w:val="20"/>
          <w:lang w:val="en-US" w:eastAsia="zh-CN"/>
        </w:rPr>
        <w:t>4</w:t>
      </w:r>
    </w:p>
    <w:p>
      <w:pPr>
        <w:pStyle w:val="23"/>
        <w:numPr>
          <w:ilvl w:val="0"/>
          <w:numId w:val="11"/>
        </w:numPr>
        <w:spacing w:before="0" w:line="360" w:lineRule="auto"/>
        <w:ind w:left="0" w:leftChars="0" w:firstLine="0"/>
        <w:jc w:val="both"/>
        <w:rPr>
          <w:rFonts w:hint="eastAsia" w:ascii="Times New Roman" w:hAnsi="Times New Roman" w:eastAsia="宋体"/>
          <w:lang w:val="en-US" w:eastAsia="zh-CN"/>
        </w:rPr>
      </w:pPr>
      <w:r>
        <w:rPr>
          <w:rFonts w:hint="default" w:ascii="Times New Roman" w:hAnsi="Times New Roman" w:eastAsia="宋体"/>
          <w:sz w:val="20"/>
          <w:lang w:val="en-US" w:eastAsia="zh-CN"/>
        </w:rPr>
        <w:t>RP-230566</w:t>
      </w:r>
      <w:r>
        <w:rPr>
          <w:rFonts w:hint="eastAsia" w:ascii="Times New Roman" w:hAnsi="Times New Roman" w:eastAsia="宋体"/>
          <w:sz w:val="20"/>
          <w:lang w:val="en-US" w:eastAsia="zh-CN"/>
        </w:rPr>
        <w:t>, WID revision: Network energy savings for NR, RAN#99</w:t>
      </w:r>
      <w:r>
        <w:rPr>
          <w:rFonts w:hint="eastAsia" w:ascii="Times New Roman" w:hAnsi="Times New Roman" w:eastAsia="宋体"/>
          <w:lang w:val="en-US" w:eastAsia="zh-CN"/>
        </w:rPr>
        <w:t>.</w:t>
      </w:r>
    </w:p>
    <w:p>
      <w:pPr>
        <w:rPr>
          <w:lang w:eastAsia="zh-CN"/>
        </w:rPr>
      </w:pPr>
    </w:p>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14F82C84"/>
    <w:multiLevelType w:val="multilevel"/>
    <w:tmpl w:val="14F82C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A48626B"/>
    <w:multiLevelType w:val="multilevel"/>
    <w:tmpl w:val="1A4862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7854DF"/>
    <w:multiLevelType w:val="multilevel"/>
    <w:tmpl w:val="207854DF"/>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2FCE3D12"/>
    <w:multiLevelType w:val="multilevel"/>
    <w:tmpl w:val="2FCE3D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2343C77"/>
    <w:multiLevelType w:val="multilevel"/>
    <w:tmpl w:val="32343C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3E35519"/>
    <w:multiLevelType w:val="multilevel"/>
    <w:tmpl w:val="33E355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8">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03F4A36"/>
    <w:multiLevelType w:val="multilevel"/>
    <w:tmpl w:val="503F4A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FBC14B5"/>
    <w:multiLevelType w:val="multilevel"/>
    <w:tmpl w:val="7FBC14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7"/>
  </w:num>
  <w:num w:numId="3">
    <w:abstractNumId w:val="9"/>
  </w:num>
  <w:num w:numId="4">
    <w:abstractNumId w:val="1"/>
  </w:num>
  <w:num w:numId="5">
    <w:abstractNumId w:val="4"/>
  </w:num>
  <w:num w:numId="6">
    <w:abstractNumId w:val="2"/>
  </w:num>
  <w:num w:numId="7">
    <w:abstractNumId w:val="5"/>
  </w:num>
  <w:num w:numId="8">
    <w:abstractNumId w:val="10"/>
  </w:num>
  <w:num w:numId="9">
    <w:abstractNumId w:val="3"/>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53830"/>
    <w:rsid w:val="001D1DA1"/>
    <w:rsid w:val="004C43F2"/>
    <w:rsid w:val="009F3794"/>
    <w:rsid w:val="01806305"/>
    <w:rsid w:val="02366D2D"/>
    <w:rsid w:val="02821545"/>
    <w:rsid w:val="02BA26ED"/>
    <w:rsid w:val="03292219"/>
    <w:rsid w:val="03333EBB"/>
    <w:rsid w:val="039242F7"/>
    <w:rsid w:val="03A329A5"/>
    <w:rsid w:val="03B43171"/>
    <w:rsid w:val="03C91DEF"/>
    <w:rsid w:val="03DC6164"/>
    <w:rsid w:val="03F033B4"/>
    <w:rsid w:val="03F97C93"/>
    <w:rsid w:val="043D1681"/>
    <w:rsid w:val="0458352F"/>
    <w:rsid w:val="046105A7"/>
    <w:rsid w:val="04A64106"/>
    <w:rsid w:val="04AD75C9"/>
    <w:rsid w:val="04C5285F"/>
    <w:rsid w:val="04D35871"/>
    <w:rsid w:val="04DD3789"/>
    <w:rsid w:val="050B2FD3"/>
    <w:rsid w:val="05BE0571"/>
    <w:rsid w:val="05BF02C6"/>
    <w:rsid w:val="05BF3D7B"/>
    <w:rsid w:val="062D641E"/>
    <w:rsid w:val="06467E10"/>
    <w:rsid w:val="06631006"/>
    <w:rsid w:val="068B669D"/>
    <w:rsid w:val="069C07C0"/>
    <w:rsid w:val="06B22BCB"/>
    <w:rsid w:val="06DB01C7"/>
    <w:rsid w:val="06FD7C23"/>
    <w:rsid w:val="070C181F"/>
    <w:rsid w:val="07412138"/>
    <w:rsid w:val="075014AD"/>
    <w:rsid w:val="07541C13"/>
    <w:rsid w:val="0768081C"/>
    <w:rsid w:val="078B42EC"/>
    <w:rsid w:val="079743E7"/>
    <w:rsid w:val="07A03B2F"/>
    <w:rsid w:val="07E12465"/>
    <w:rsid w:val="07FE6829"/>
    <w:rsid w:val="081D0F97"/>
    <w:rsid w:val="08575FBE"/>
    <w:rsid w:val="08711159"/>
    <w:rsid w:val="08761095"/>
    <w:rsid w:val="09386CEF"/>
    <w:rsid w:val="09436EC0"/>
    <w:rsid w:val="095E2632"/>
    <w:rsid w:val="09735935"/>
    <w:rsid w:val="097B701A"/>
    <w:rsid w:val="09891C4A"/>
    <w:rsid w:val="09C11875"/>
    <w:rsid w:val="0A940E9D"/>
    <w:rsid w:val="0AB5350C"/>
    <w:rsid w:val="0AC53B39"/>
    <w:rsid w:val="0AC8754E"/>
    <w:rsid w:val="0AD04CB6"/>
    <w:rsid w:val="0B4F2D08"/>
    <w:rsid w:val="0B5645CC"/>
    <w:rsid w:val="0B5A0448"/>
    <w:rsid w:val="0B713C52"/>
    <w:rsid w:val="0B7E082A"/>
    <w:rsid w:val="0BAA50B0"/>
    <w:rsid w:val="0BC450BB"/>
    <w:rsid w:val="0BCA33E7"/>
    <w:rsid w:val="0C0D1FC9"/>
    <w:rsid w:val="0C4A71B8"/>
    <w:rsid w:val="0C6B3E4C"/>
    <w:rsid w:val="0C7A3E69"/>
    <w:rsid w:val="0C950531"/>
    <w:rsid w:val="0C9D33BF"/>
    <w:rsid w:val="0D0962F1"/>
    <w:rsid w:val="0D1745A6"/>
    <w:rsid w:val="0D650C0A"/>
    <w:rsid w:val="0D8008CF"/>
    <w:rsid w:val="0D9F3231"/>
    <w:rsid w:val="0DFE15A3"/>
    <w:rsid w:val="0E2C3933"/>
    <w:rsid w:val="0E4D44EF"/>
    <w:rsid w:val="0EC53BA2"/>
    <w:rsid w:val="0EF85813"/>
    <w:rsid w:val="0F0B0B79"/>
    <w:rsid w:val="0F524340"/>
    <w:rsid w:val="0FD746B6"/>
    <w:rsid w:val="0FD94151"/>
    <w:rsid w:val="0FEE6FAE"/>
    <w:rsid w:val="100D7EC6"/>
    <w:rsid w:val="10931CC7"/>
    <w:rsid w:val="10C87F96"/>
    <w:rsid w:val="10F51AD3"/>
    <w:rsid w:val="11026C66"/>
    <w:rsid w:val="11B25995"/>
    <w:rsid w:val="123D56D9"/>
    <w:rsid w:val="12960691"/>
    <w:rsid w:val="12F02DF4"/>
    <w:rsid w:val="13F554B1"/>
    <w:rsid w:val="14166484"/>
    <w:rsid w:val="14327D73"/>
    <w:rsid w:val="145C6F22"/>
    <w:rsid w:val="14AC682E"/>
    <w:rsid w:val="14C53B07"/>
    <w:rsid w:val="14D20DB6"/>
    <w:rsid w:val="14E21EB8"/>
    <w:rsid w:val="14F2746B"/>
    <w:rsid w:val="154F69E6"/>
    <w:rsid w:val="155B2107"/>
    <w:rsid w:val="15682461"/>
    <w:rsid w:val="15805F48"/>
    <w:rsid w:val="15AD3A82"/>
    <w:rsid w:val="15B81628"/>
    <w:rsid w:val="15CE7E95"/>
    <w:rsid w:val="15CF3257"/>
    <w:rsid w:val="15DD1D26"/>
    <w:rsid w:val="15E82AFC"/>
    <w:rsid w:val="16484BA2"/>
    <w:rsid w:val="16501227"/>
    <w:rsid w:val="16602BEE"/>
    <w:rsid w:val="167133BD"/>
    <w:rsid w:val="1683077C"/>
    <w:rsid w:val="16D621CD"/>
    <w:rsid w:val="172F7734"/>
    <w:rsid w:val="17326BFF"/>
    <w:rsid w:val="173340E6"/>
    <w:rsid w:val="17846D8A"/>
    <w:rsid w:val="17E3743F"/>
    <w:rsid w:val="17EF5450"/>
    <w:rsid w:val="1815568F"/>
    <w:rsid w:val="183D7BCD"/>
    <w:rsid w:val="183E7952"/>
    <w:rsid w:val="18B21AD6"/>
    <w:rsid w:val="18DF05DB"/>
    <w:rsid w:val="18EA08C6"/>
    <w:rsid w:val="190570D2"/>
    <w:rsid w:val="19286D8E"/>
    <w:rsid w:val="19B6063F"/>
    <w:rsid w:val="19F743DF"/>
    <w:rsid w:val="1A682661"/>
    <w:rsid w:val="1A942215"/>
    <w:rsid w:val="1AAD78D2"/>
    <w:rsid w:val="1AE945CD"/>
    <w:rsid w:val="1BD0092E"/>
    <w:rsid w:val="1BD1495A"/>
    <w:rsid w:val="1BED197A"/>
    <w:rsid w:val="1C091D8D"/>
    <w:rsid w:val="1C4A27F6"/>
    <w:rsid w:val="1C8D7DE8"/>
    <w:rsid w:val="1CBF6038"/>
    <w:rsid w:val="1CC713C0"/>
    <w:rsid w:val="1D176197"/>
    <w:rsid w:val="1D2F0B4E"/>
    <w:rsid w:val="1D3A2CBF"/>
    <w:rsid w:val="1D4E0DE6"/>
    <w:rsid w:val="1D5F3C1E"/>
    <w:rsid w:val="1D786CA0"/>
    <w:rsid w:val="1E944CBA"/>
    <w:rsid w:val="1EEC4260"/>
    <w:rsid w:val="1F0868CC"/>
    <w:rsid w:val="1F1402D1"/>
    <w:rsid w:val="1F713F17"/>
    <w:rsid w:val="1FBF7ED9"/>
    <w:rsid w:val="20273EC1"/>
    <w:rsid w:val="20294D50"/>
    <w:rsid w:val="203E1579"/>
    <w:rsid w:val="20486C30"/>
    <w:rsid w:val="204A3DDB"/>
    <w:rsid w:val="204B0788"/>
    <w:rsid w:val="207C0B93"/>
    <w:rsid w:val="20C54B2E"/>
    <w:rsid w:val="20DC4847"/>
    <w:rsid w:val="20E02300"/>
    <w:rsid w:val="20F63118"/>
    <w:rsid w:val="2113389C"/>
    <w:rsid w:val="212A5BF7"/>
    <w:rsid w:val="21486D50"/>
    <w:rsid w:val="216F2E69"/>
    <w:rsid w:val="21A835A0"/>
    <w:rsid w:val="21C71C6C"/>
    <w:rsid w:val="21F51F69"/>
    <w:rsid w:val="224131C1"/>
    <w:rsid w:val="226804C4"/>
    <w:rsid w:val="226A6584"/>
    <w:rsid w:val="22B456FE"/>
    <w:rsid w:val="22B54453"/>
    <w:rsid w:val="22D1722D"/>
    <w:rsid w:val="22EE7297"/>
    <w:rsid w:val="22FD69AE"/>
    <w:rsid w:val="230B5C6A"/>
    <w:rsid w:val="23307003"/>
    <w:rsid w:val="233B46DE"/>
    <w:rsid w:val="23543698"/>
    <w:rsid w:val="2378316C"/>
    <w:rsid w:val="23AB02F8"/>
    <w:rsid w:val="24222D39"/>
    <w:rsid w:val="24770AA7"/>
    <w:rsid w:val="249C66CB"/>
    <w:rsid w:val="2518335A"/>
    <w:rsid w:val="259F0F36"/>
    <w:rsid w:val="25BF7538"/>
    <w:rsid w:val="25E25F7B"/>
    <w:rsid w:val="25FA3B44"/>
    <w:rsid w:val="26014383"/>
    <w:rsid w:val="26025AC5"/>
    <w:rsid w:val="26054B71"/>
    <w:rsid w:val="260C7CEA"/>
    <w:rsid w:val="26102F02"/>
    <w:rsid w:val="26430191"/>
    <w:rsid w:val="265817DB"/>
    <w:rsid w:val="26685E4E"/>
    <w:rsid w:val="26710598"/>
    <w:rsid w:val="26854CAF"/>
    <w:rsid w:val="26D50A2C"/>
    <w:rsid w:val="26FF6F87"/>
    <w:rsid w:val="275F60A7"/>
    <w:rsid w:val="276D75BB"/>
    <w:rsid w:val="27CE415D"/>
    <w:rsid w:val="283F7913"/>
    <w:rsid w:val="284B3726"/>
    <w:rsid w:val="2874016E"/>
    <w:rsid w:val="28886E0E"/>
    <w:rsid w:val="28C65A54"/>
    <w:rsid w:val="29437541"/>
    <w:rsid w:val="29594B3A"/>
    <w:rsid w:val="29AA010A"/>
    <w:rsid w:val="29B461AC"/>
    <w:rsid w:val="29B816FE"/>
    <w:rsid w:val="29DF15BE"/>
    <w:rsid w:val="2A2158AB"/>
    <w:rsid w:val="2A226BAF"/>
    <w:rsid w:val="2A9B7F19"/>
    <w:rsid w:val="2AEB718E"/>
    <w:rsid w:val="2B15743C"/>
    <w:rsid w:val="2B20324F"/>
    <w:rsid w:val="2C153FA1"/>
    <w:rsid w:val="2C1A370D"/>
    <w:rsid w:val="2C520FC6"/>
    <w:rsid w:val="2C9805ED"/>
    <w:rsid w:val="2CD5161C"/>
    <w:rsid w:val="2CF96358"/>
    <w:rsid w:val="2D312F7F"/>
    <w:rsid w:val="2D803397"/>
    <w:rsid w:val="2D855F3C"/>
    <w:rsid w:val="2E154608"/>
    <w:rsid w:val="2E214FC5"/>
    <w:rsid w:val="2E2B3861"/>
    <w:rsid w:val="2E6220A7"/>
    <w:rsid w:val="2E8A57EA"/>
    <w:rsid w:val="2F0E473E"/>
    <w:rsid w:val="2F2509C8"/>
    <w:rsid w:val="2F3E6592"/>
    <w:rsid w:val="2F511D30"/>
    <w:rsid w:val="2FBF7DE5"/>
    <w:rsid w:val="2FC459F7"/>
    <w:rsid w:val="303F6316"/>
    <w:rsid w:val="305F3CA3"/>
    <w:rsid w:val="30A72E79"/>
    <w:rsid w:val="30B93D8E"/>
    <w:rsid w:val="30C920B8"/>
    <w:rsid w:val="31182819"/>
    <w:rsid w:val="315D7796"/>
    <w:rsid w:val="31696F75"/>
    <w:rsid w:val="31B8211E"/>
    <w:rsid w:val="32395E90"/>
    <w:rsid w:val="323B6E74"/>
    <w:rsid w:val="327F31BE"/>
    <w:rsid w:val="329A7A4B"/>
    <w:rsid w:val="3300373A"/>
    <w:rsid w:val="33020E3C"/>
    <w:rsid w:val="333E321F"/>
    <w:rsid w:val="334B2535"/>
    <w:rsid w:val="33D577B5"/>
    <w:rsid w:val="33E538F6"/>
    <w:rsid w:val="346E7194"/>
    <w:rsid w:val="34712317"/>
    <w:rsid w:val="34E31351"/>
    <w:rsid w:val="35414F6E"/>
    <w:rsid w:val="354C3954"/>
    <w:rsid w:val="355F746B"/>
    <w:rsid w:val="35987B7B"/>
    <w:rsid w:val="35B567A6"/>
    <w:rsid w:val="35B873B1"/>
    <w:rsid w:val="3618394C"/>
    <w:rsid w:val="364C2EB6"/>
    <w:rsid w:val="3660047D"/>
    <w:rsid w:val="36665823"/>
    <w:rsid w:val="36852913"/>
    <w:rsid w:val="36AB17B2"/>
    <w:rsid w:val="36B315CD"/>
    <w:rsid w:val="36C55FD9"/>
    <w:rsid w:val="36F210B1"/>
    <w:rsid w:val="36F90A3C"/>
    <w:rsid w:val="37467121"/>
    <w:rsid w:val="37A2030E"/>
    <w:rsid w:val="37AF0A7B"/>
    <w:rsid w:val="384C41C1"/>
    <w:rsid w:val="38622202"/>
    <w:rsid w:val="386E58B4"/>
    <w:rsid w:val="38CB386D"/>
    <w:rsid w:val="38D146E8"/>
    <w:rsid w:val="38E11BE1"/>
    <w:rsid w:val="38ED1AB0"/>
    <w:rsid w:val="39003390"/>
    <w:rsid w:val="39456083"/>
    <w:rsid w:val="39664B4C"/>
    <w:rsid w:val="396A4FBD"/>
    <w:rsid w:val="39A07E84"/>
    <w:rsid w:val="39BC1544"/>
    <w:rsid w:val="39C51E54"/>
    <w:rsid w:val="39ED44B5"/>
    <w:rsid w:val="3A0045B7"/>
    <w:rsid w:val="3A2071A2"/>
    <w:rsid w:val="3A223AAA"/>
    <w:rsid w:val="3A5F5DCE"/>
    <w:rsid w:val="3AD20669"/>
    <w:rsid w:val="3B006358"/>
    <w:rsid w:val="3B1508C2"/>
    <w:rsid w:val="3B296135"/>
    <w:rsid w:val="3B702D5E"/>
    <w:rsid w:val="3BAA0D70"/>
    <w:rsid w:val="3BAC7AF6"/>
    <w:rsid w:val="3BDF573E"/>
    <w:rsid w:val="3BFB1D34"/>
    <w:rsid w:val="3C7826C2"/>
    <w:rsid w:val="3CBF66BA"/>
    <w:rsid w:val="3D0422A6"/>
    <w:rsid w:val="3D045D81"/>
    <w:rsid w:val="3D0955CD"/>
    <w:rsid w:val="3D320BF7"/>
    <w:rsid w:val="3D646E47"/>
    <w:rsid w:val="3DC271E1"/>
    <w:rsid w:val="3DD3111B"/>
    <w:rsid w:val="3E080E81"/>
    <w:rsid w:val="3E5F4689"/>
    <w:rsid w:val="3E674F1B"/>
    <w:rsid w:val="3F1F4F1F"/>
    <w:rsid w:val="3F575962"/>
    <w:rsid w:val="3FC12F51"/>
    <w:rsid w:val="3FE35B2E"/>
    <w:rsid w:val="40107D2A"/>
    <w:rsid w:val="4063384D"/>
    <w:rsid w:val="409B660A"/>
    <w:rsid w:val="409D5390"/>
    <w:rsid w:val="40A53650"/>
    <w:rsid w:val="40C06849"/>
    <w:rsid w:val="40EA5638"/>
    <w:rsid w:val="412D71FD"/>
    <w:rsid w:val="41600151"/>
    <w:rsid w:val="41603818"/>
    <w:rsid w:val="41B53228"/>
    <w:rsid w:val="420D0A6A"/>
    <w:rsid w:val="424452F4"/>
    <w:rsid w:val="42480626"/>
    <w:rsid w:val="42A81EAB"/>
    <w:rsid w:val="430A058D"/>
    <w:rsid w:val="43120317"/>
    <w:rsid w:val="43346B04"/>
    <w:rsid w:val="433F20E0"/>
    <w:rsid w:val="43430AE7"/>
    <w:rsid w:val="435D1690"/>
    <w:rsid w:val="43993D8E"/>
    <w:rsid w:val="43E56B7B"/>
    <w:rsid w:val="43F5638C"/>
    <w:rsid w:val="441E7550"/>
    <w:rsid w:val="4420454F"/>
    <w:rsid w:val="442339D8"/>
    <w:rsid w:val="4428205E"/>
    <w:rsid w:val="449700C1"/>
    <w:rsid w:val="449C033E"/>
    <w:rsid w:val="44DF4AD3"/>
    <w:rsid w:val="453F702F"/>
    <w:rsid w:val="45806EC3"/>
    <w:rsid w:val="458A5B63"/>
    <w:rsid w:val="45AA4758"/>
    <w:rsid w:val="464B2B63"/>
    <w:rsid w:val="46506A61"/>
    <w:rsid w:val="46554BF1"/>
    <w:rsid w:val="465D5881"/>
    <w:rsid w:val="465E3302"/>
    <w:rsid w:val="46686C9E"/>
    <w:rsid w:val="46936C54"/>
    <w:rsid w:val="46CF48BB"/>
    <w:rsid w:val="46D92C4C"/>
    <w:rsid w:val="46E01544"/>
    <w:rsid w:val="47341CB9"/>
    <w:rsid w:val="476C4C8D"/>
    <w:rsid w:val="478F75F0"/>
    <w:rsid w:val="47CA5A26"/>
    <w:rsid w:val="48443B57"/>
    <w:rsid w:val="488E5A9B"/>
    <w:rsid w:val="48AF1F07"/>
    <w:rsid w:val="48B225B7"/>
    <w:rsid w:val="48B64E60"/>
    <w:rsid w:val="48F12CEE"/>
    <w:rsid w:val="4938000E"/>
    <w:rsid w:val="498558F4"/>
    <w:rsid w:val="49A87567"/>
    <w:rsid w:val="49D135E4"/>
    <w:rsid w:val="49EE4A2A"/>
    <w:rsid w:val="4A0A0505"/>
    <w:rsid w:val="4A523E05"/>
    <w:rsid w:val="4A6F7A71"/>
    <w:rsid w:val="4A7111AE"/>
    <w:rsid w:val="4ACD31BD"/>
    <w:rsid w:val="4B3C4C5E"/>
    <w:rsid w:val="4B453C14"/>
    <w:rsid w:val="4BB46FD1"/>
    <w:rsid w:val="4BFF2F3E"/>
    <w:rsid w:val="4C4A42B7"/>
    <w:rsid w:val="4C6C5AF1"/>
    <w:rsid w:val="4CB65B8D"/>
    <w:rsid w:val="4CD94E20"/>
    <w:rsid w:val="4D121D34"/>
    <w:rsid w:val="4D545FEE"/>
    <w:rsid w:val="4D7A3398"/>
    <w:rsid w:val="4DC3281F"/>
    <w:rsid w:val="4DFF0486"/>
    <w:rsid w:val="4E2528C4"/>
    <w:rsid w:val="4E264AC2"/>
    <w:rsid w:val="4E897B66"/>
    <w:rsid w:val="4EB3122E"/>
    <w:rsid w:val="4EE53BFB"/>
    <w:rsid w:val="4EEF51A5"/>
    <w:rsid w:val="4EF33F37"/>
    <w:rsid w:val="4F1254C3"/>
    <w:rsid w:val="4F29663B"/>
    <w:rsid w:val="4F2F631B"/>
    <w:rsid w:val="4F3C0010"/>
    <w:rsid w:val="4F4A0C44"/>
    <w:rsid w:val="4F687927"/>
    <w:rsid w:val="4F706F0D"/>
    <w:rsid w:val="4FE60326"/>
    <w:rsid w:val="4FF166B7"/>
    <w:rsid w:val="50252009"/>
    <w:rsid w:val="502E071A"/>
    <w:rsid w:val="508D0734"/>
    <w:rsid w:val="508F4388"/>
    <w:rsid w:val="50CE6F9F"/>
    <w:rsid w:val="51537257"/>
    <w:rsid w:val="5165582B"/>
    <w:rsid w:val="517D50F1"/>
    <w:rsid w:val="51D51D50"/>
    <w:rsid w:val="524F1A19"/>
    <w:rsid w:val="525E29B5"/>
    <w:rsid w:val="526E0C49"/>
    <w:rsid w:val="528A181C"/>
    <w:rsid w:val="52AD5DA5"/>
    <w:rsid w:val="52B10036"/>
    <w:rsid w:val="52B3173E"/>
    <w:rsid w:val="52DB76C2"/>
    <w:rsid w:val="52FF50A3"/>
    <w:rsid w:val="531E1B16"/>
    <w:rsid w:val="53284056"/>
    <w:rsid w:val="535B4223"/>
    <w:rsid w:val="5370034A"/>
    <w:rsid w:val="53A17BD7"/>
    <w:rsid w:val="53D75E20"/>
    <w:rsid w:val="53FB108F"/>
    <w:rsid w:val="544A7794"/>
    <w:rsid w:val="544F0576"/>
    <w:rsid w:val="547748A2"/>
    <w:rsid w:val="54C35107"/>
    <w:rsid w:val="553C3366"/>
    <w:rsid w:val="553F7285"/>
    <w:rsid w:val="559B138A"/>
    <w:rsid w:val="560A4E69"/>
    <w:rsid w:val="56132672"/>
    <w:rsid w:val="56B62BD2"/>
    <w:rsid w:val="56E865F9"/>
    <w:rsid w:val="575514CD"/>
    <w:rsid w:val="57577640"/>
    <w:rsid w:val="57B35F6D"/>
    <w:rsid w:val="57F21DC7"/>
    <w:rsid w:val="58036524"/>
    <w:rsid w:val="584717CF"/>
    <w:rsid w:val="584D616C"/>
    <w:rsid w:val="586E14BF"/>
    <w:rsid w:val="589775E6"/>
    <w:rsid w:val="58AD7D6B"/>
    <w:rsid w:val="595B14B9"/>
    <w:rsid w:val="59C21551"/>
    <w:rsid w:val="5A02233A"/>
    <w:rsid w:val="5A320356"/>
    <w:rsid w:val="5A5F6BCF"/>
    <w:rsid w:val="5ABC3E58"/>
    <w:rsid w:val="5AC70DFE"/>
    <w:rsid w:val="5AD33355"/>
    <w:rsid w:val="5AE625AD"/>
    <w:rsid w:val="5B1A2E07"/>
    <w:rsid w:val="5B792E47"/>
    <w:rsid w:val="5BDA4BBF"/>
    <w:rsid w:val="5BE715DE"/>
    <w:rsid w:val="5C0706E0"/>
    <w:rsid w:val="5C1839E9"/>
    <w:rsid w:val="5CE31FB3"/>
    <w:rsid w:val="5D3A20B9"/>
    <w:rsid w:val="5D702D81"/>
    <w:rsid w:val="5D923D8D"/>
    <w:rsid w:val="5D9E4D24"/>
    <w:rsid w:val="5DB217C6"/>
    <w:rsid w:val="5DD97608"/>
    <w:rsid w:val="5E5830B6"/>
    <w:rsid w:val="5E9807BF"/>
    <w:rsid w:val="5ECA6000"/>
    <w:rsid w:val="5EE15B23"/>
    <w:rsid w:val="5F8D2114"/>
    <w:rsid w:val="5F946831"/>
    <w:rsid w:val="5FA34174"/>
    <w:rsid w:val="5FD22AC5"/>
    <w:rsid w:val="606737AA"/>
    <w:rsid w:val="61161572"/>
    <w:rsid w:val="61A907DA"/>
    <w:rsid w:val="61BE4069"/>
    <w:rsid w:val="61C52EF5"/>
    <w:rsid w:val="61CB5D59"/>
    <w:rsid w:val="62550747"/>
    <w:rsid w:val="625957CD"/>
    <w:rsid w:val="626671FB"/>
    <w:rsid w:val="62BB2188"/>
    <w:rsid w:val="62C87348"/>
    <w:rsid w:val="62EF34B9"/>
    <w:rsid w:val="62FF1157"/>
    <w:rsid w:val="631D47AB"/>
    <w:rsid w:val="631F1A9A"/>
    <w:rsid w:val="632366B5"/>
    <w:rsid w:val="63562CB6"/>
    <w:rsid w:val="63852ED6"/>
    <w:rsid w:val="63E31B13"/>
    <w:rsid w:val="644C405D"/>
    <w:rsid w:val="6464757D"/>
    <w:rsid w:val="658713A2"/>
    <w:rsid w:val="65AF1261"/>
    <w:rsid w:val="65B87C60"/>
    <w:rsid w:val="65CC54F7"/>
    <w:rsid w:val="65DA25C0"/>
    <w:rsid w:val="663549B3"/>
    <w:rsid w:val="66651C8A"/>
    <w:rsid w:val="66B56591"/>
    <w:rsid w:val="67141E2D"/>
    <w:rsid w:val="68012776"/>
    <w:rsid w:val="681E1745"/>
    <w:rsid w:val="68313733"/>
    <w:rsid w:val="68334803"/>
    <w:rsid w:val="688B4E92"/>
    <w:rsid w:val="691D7C84"/>
    <w:rsid w:val="699A657E"/>
    <w:rsid w:val="69CE2026"/>
    <w:rsid w:val="6A03709F"/>
    <w:rsid w:val="6AA10A5E"/>
    <w:rsid w:val="6AAD28D9"/>
    <w:rsid w:val="6AAF4B97"/>
    <w:rsid w:val="6AD61BC4"/>
    <w:rsid w:val="6B2028CD"/>
    <w:rsid w:val="6B20701A"/>
    <w:rsid w:val="6B28732C"/>
    <w:rsid w:val="6B92518A"/>
    <w:rsid w:val="6C0E3894"/>
    <w:rsid w:val="6C397FC7"/>
    <w:rsid w:val="6C805BAD"/>
    <w:rsid w:val="6CCE4B92"/>
    <w:rsid w:val="6CD81C1E"/>
    <w:rsid w:val="6CD9769F"/>
    <w:rsid w:val="6CE978CE"/>
    <w:rsid w:val="6D561817"/>
    <w:rsid w:val="6D594918"/>
    <w:rsid w:val="6D640908"/>
    <w:rsid w:val="6D7C5FAF"/>
    <w:rsid w:val="6DA24B6A"/>
    <w:rsid w:val="6DA51372"/>
    <w:rsid w:val="6DF410F1"/>
    <w:rsid w:val="6E7716CA"/>
    <w:rsid w:val="6E8C0BE2"/>
    <w:rsid w:val="6EB26818"/>
    <w:rsid w:val="6EB73A9A"/>
    <w:rsid w:val="6EDA6A7D"/>
    <w:rsid w:val="6EDB6D1C"/>
    <w:rsid w:val="6F165D50"/>
    <w:rsid w:val="6F2B6BEF"/>
    <w:rsid w:val="70D04FAA"/>
    <w:rsid w:val="71085217"/>
    <w:rsid w:val="712C7C8C"/>
    <w:rsid w:val="7146734E"/>
    <w:rsid w:val="714823C7"/>
    <w:rsid w:val="71487ACE"/>
    <w:rsid w:val="717A7739"/>
    <w:rsid w:val="71893698"/>
    <w:rsid w:val="71FA6D8D"/>
    <w:rsid w:val="726E34C9"/>
    <w:rsid w:val="72912784"/>
    <w:rsid w:val="72B85B6B"/>
    <w:rsid w:val="73CC6C88"/>
    <w:rsid w:val="73E0372B"/>
    <w:rsid w:val="742A7022"/>
    <w:rsid w:val="745F6C7C"/>
    <w:rsid w:val="74A55024"/>
    <w:rsid w:val="750072B4"/>
    <w:rsid w:val="751A21AE"/>
    <w:rsid w:val="75614B20"/>
    <w:rsid w:val="75653882"/>
    <w:rsid w:val="76732C9D"/>
    <w:rsid w:val="769F2D64"/>
    <w:rsid w:val="76D44A02"/>
    <w:rsid w:val="7732281D"/>
    <w:rsid w:val="773B78A9"/>
    <w:rsid w:val="77421C0D"/>
    <w:rsid w:val="77687474"/>
    <w:rsid w:val="778F795D"/>
    <w:rsid w:val="7805161F"/>
    <w:rsid w:val="78956BE1"/>
    <w:rsid w:val="78D366C6"/>
    <w:rsid w:val="78F21981"/>
    <w:rsid w:val="78FC310E"/>
    <w:rsid w:val="798B53DB"/>
    <w:rsid w:val="799D7414"/>
    <w:rsid w:val="79AF2C8A"/>
    <w:rsid w:val="79C23DD0"/>
    <w:rsid w:val="79E6728C"/>
    <w:rsid w:val="7A38265B"/>
    <w:rsid w:val="7A442306"/>
    <w:rsid w:val="7A905722"/>
    <w:rsid w:val="7AF741CD"/>
    <w:rsid w:val="7B1072F5"/>
    <w:rsid w:val="7B1511FF"/>
    <w:rsid w:val="7B2D68A5"/>
    <w:rsid w:val="7B315C9C"/>
    <w:rsid w:val="7B585E3C"/>
    <w:rsid w:val="7B7E06C4"/>
    <w:rsid w:val="7BC703CB"/>
    <w:rsid w:val="7BFC5DC1"/>
    <w:rsid w:val="7C0C5C9A"/>
    <w:rsid w:val="7C140848"/>
    <w:rsid w:val="7C2524E2"/>
    <w:rsid w:val="7C2800AB"/>
    <w:rsid w:val="7C585A30"/>
    <w:rsid w:val="7C7E29CD"/>
    <w:rsid w:val="7C815CBD"/>
    <w:rsid w:val="7C9877BF"/>
    <w:rsid w:val="7CF54A57"/>
    <w:rsid w:val="7D465CC7"/>
    <w:rsid w:val="7D4B0422"/>
    <w:rsid w:val="7D4F649D"/>
    <w:rsid w:val="7D564C1D"/>
    <w:rsid w:val="7D79534D"/>
    <w:rsid w:val="7DC616C1"/>
    <w:rsid w:val="7E4E3EC4"/>
    <w:rsid w:val="7E582255"/>
    <w:rsid w:val="7E6F1CAB"/>
    <w:rsid w:val="7E971369"/>
    <w:rsid w:val="7EB64697"/>
    <w:rsid w:val="7EBA0FF5"/>
    <w:rsid w:val="7EBB22FA"/>
    <w:rsid w:val="7ED17DA8"/>
    <w:rsid w:val="7F151C89"/>
    <w:rsid w:val="7FB9221D"/>
    <w:rsid w:val="7FF32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References"/>
    <w:basedOn w:val="1"/>
    <w:qFormat/>
    <w:uiPriority w:val="0"/>
    <w:pPr>
      <w:numPr>
        <w:ilvl w:val="0"/>
        <w:numId w:val="2"/>
      </w:numPr>
      <w:spacing w:after="60"/>
    </w:pPr>
    <w:rPr>
      <w:szCs w:val="16"/>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6">
    <w:name w:val="0 Main text"/>
    <w:basedOn w:val="1"/>
    <w:qFormat/>
    <w:uiPriority w:val="0"/>
    <w:pPr>
      <w:spacing w:after="100" w:afterAutospacing="1" w:line="288" w:lineRule="auto"/>
      <w:ind w:firstLine="360"/>
      <w:jc w:val="both"/>
    </w:pPr>
    <w:rPr>
      <w:rFonts w:eastAsia="Times New Roman"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2</TotalTime>
  <ScaleCrop>false</ScaleCrop>
  <LinksUpToDate>false</LinksUpToDate>
  <CharactersWithSpaces>10657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2023-09-27T09:53:24Z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C695129FFDA649979BB8119FB5652EAE</vt:lpwstr>
  </property>
</Properties>
</file>